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5.11C</w:t>
      </w:r>
    </w:p>
    <w:p>
      <w:pPr>
        <w:jc w:val="center"/>
      </w:pPr>
      <w:r>
        <w:rPr>
          <w:sz w:val="22"/>
        </w:rPr>
        <w:t xml:space="preserve">Service agreement (BG–EN) — работни програми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ПО-03  ·  Drive: 1H2CqC2Ldxo0j7T9TcHdEY_21LhsI85Pp</w:t>
      </w:r>
    </w:p>
    <w:p>
      <w:pPr/>
      <w:r>
        <w:rPr>
          <w:i/>
          <w:sz w:val="16"/>
        </w:rPr>
        <w:t xml:space="preserve">Оригинален файл: 5.11C_BG_EN_Service agreement_Rabotni programi.doc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