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5.12</w:t>
      </w:r>
    </w:p>
    <w:p>
      <w:pPr>
        <w:jc w:val="center"/>
      </w:pPr>
      <w:r>
        <w:rPr>
          <w:sz w:val="22"/>
        </w:rPr>
        <w:t xml:space="preserve">Плащане по граждански договор с чужденци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1cUb9Vxb6PEwCun_qm-i-8xLnlDKIDFnF</w:t>
      </w:r>
    </w:p>
    <w:p>
      <w:pPr/>
      <w:r>
        <w:rPr>
          <w:i/>
          <w:sz w:val="16"/>
        </w:rPr>
        <w:t xml:space="preserve">Оригинален файл: 5.12-doklad-plashtane-gr.dogovor-chujdenci.doc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