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5.14</w:t>
      </w:r>
    </w:p>
    <w:p>
      <w:pPr>
        <w:jc w:val="center"/>
      </w:pPr>
      <w:r>
        <w:rPr>
          <w:sz w:val="22"/>
        </w:rPr>
        <w:t xml:space="preserve">Бланка гост-преподавател т. 7.2 — цялостно обучение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1jlUI2fa5ATVXEPpF3nNulM1pnvYfYeDs</w:t>
      </w:r>
    </w:p>
    <w:p>
      <w:pPr/>
      <w:r>
        <w:rPr>
          <w:i/>
          <w:sz w:val="16"/>
        </w:rPr>
        <w:t xml:space="preserve">Оригинален файл: Образец 5.14 - бланка_гост-преподавател по т. 7.2 за цялостно обучение.doc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