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5.15</w:t>
      </w:r>
    </w:p>
    <w:p>
      <w:pPr>
        <w:jc w:val="center"/>
      </w:pPr>
      <w:r>
        <w:rPr>
          <w:sz w:val="22"/>
        </w:rPr>
        <w:t xml:space="preserve">Бланка гост-преподавател т. 7.3 — безвъзмездно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1nnb5XMaetWhls0pmMCj4-1ITj7lpdo0l</w:t>
      </w:r>
    </w:p>
    <w:p>
      <w:pPr/>
      <w:r>
        <w:rPr>
          <w:i/>
          <w:sz w:val="16"/>
        </w:rPr>
        <w:t xml:space="preserve">Оригинален файл: 5.15. бланка_гост-преподавател по т. 7.3. - безвъзмездно.doc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