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5.4A</w:t>
      </w:r>
    </w:p>
    <w:p>
      <w:pPr>
        <w:jc w:val="center"/>
      </w:pPr>
      <w:r>
        <w:rPr>
          <w:sz w:val="22"/>
        </w:rPr>
        <w:t xml:space="preserve">Възлагане на допълнителни задачи (чл. 25 ВПРЗ)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1LRrUTTyxPR6O9PC8TjwjJ9L_eARyAcQC</w:t>
      </w:r>
    </w:p>
    <w:p>
      <w:pPr/>
      <w:r>
        <w:rPr>
          <w:i/>
          <w:sz w:val="16"/>
        </w:rPr>
        <w:t xml:space="preserve">Оригинален файл: Obrazec 5.4.A.Doklad i zapoved za vazlagane 25 VPRZ.doc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