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5.5</w:t>
      </w:r>
    </w:p>
    <w:p>
      <w:pPr>
        <w:jc w:val="center"/>
      </w:pPr>
      <w:r>
        <w:rPr>
          <w:sz w:val="22"/>
        </w:rPr>
        <w:t xml:space="preserve">Часове над годишния норматив (КТД)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ФД-23  ·  Drive: 1rGpApSY90Kes9HRWO3uDcxZZiSCmKHzS</w:t>
      </w:r>
    </w:p>
    <w:p>
      <w:pPr/>
      <w:r>
        <w:rPr>
          <w:i/>
          <w:sz w:val="16"/>
        </w:rPr>
        <w:t xml:space="preserve">Оригинален файл: обр. 5.5 - доклад и заповед за изплащане на часове над норматива.doc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