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5.6A</w:t>
      </w:r>
    </w:p>
    <w:p>
      <w:pPr>
        <w:jc w:val="center"/>
      </w:pPr>
      <w:r>
        <w:rPr>
          <w:sz w:val="22"/>
        </w:rPr>
        <w:t xml:space="preserve">Таблица 5.6.А — доп. възнаграждения МП (EUR)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ФД-23  ·  Drive: 1dm_oXOyEpIKVQH9knM26eEcafVOzY2OA</w:t>
      </w:r>
    </w:p>
    <w:p>
      <w:pPr/>
      <w:r>
        <w:rPr>
          <w:i/>
          <w:sz w:val="16"/>
        </w:rPr>
        <w:t xml:space="preserve">Оригинален файл: Obrazec-5.6.A--dopalnitelni vaznagrajdenia magistarski programi-EUR.xlsx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