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2.2</w:t>
      </w:r>
    </w:p>
    <w:p>
      <w:pPr>
        <w:jc w:val="center"/>
      </w:pPr>
      <w:r>
        <w:rPr>
          <w:sz w:val="22"/>
        </w:rPr>
        <w:t xml:space="preserve">Допускане на кандидати — асистент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1Bf12xJPmwF3yWYlGZp4jhoDJdmZ05SWF</w:t>
      </w:r>
    </w:p>
    <w:p>
      <w:pPr/>
      <w:r>
        <w:rPr>
          <w:i/>
          <w:sz w:val="16"/>
        </w:rPr>
        <w:t xml:space="preserve">Оригинален файл: Образец 2.2.-доклад и заповед_комисия по допускане_асистент.docx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