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2.3</w:t>
      </w:r>
    </w:p>
    <w:p>
      <w:pPr>
        <w:jc w:val="center"/>
      </w:pPr>
      <w:r>
        <w:rPr>
          <w:sz w:val="22"/>
        </w:rPr>
        <w:t xml:space="preserve">Допускане на кандидати — гл. ас. / доц. / проф.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1LSLb5yjmBPpzfdhH1ML5fEAlhgLUkJTa</w:t>
      </w:r>
    </w:p>
    <w:p>
      <w:pPr/>
      <w:r>
        <w:rPr>
          <w:i/>
          <w:sz w:val="16"/>
        </w:rPr>
        <w:t xml:space="preserve">Оригинален файл: Образец 2.3.-доклад и заповед_комисия по допускане_ гл. ас._доц_проф.docx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