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2.4</w:t>
      </w:r>
    </w:p>
    <w:p>
      <w:pPr>
        <w:jc w:val="center"/>
      </w:pPr>
      <w:r>
        <w:rPr>
          <w:sz w:val="22"/>
        </w:rPr>
        <w:t xml:space="preserve">Комисия по провеждане на конкурс —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1S2qWwxT5rfF7lSCaQdH0Dms82KVio0jS</w:t>
      </w:r>
    </w:p>
    <w:p>
      <w:pPr/>
      <w:r>
        <w:rPr>
          <w:i/>
          <w:sz w:val="16"/>
        </w:rPr>
        <w:t xml:space="preserve">Оригинален файл: Образец 2.4.-доклад и заповед_комисия по провеждане _асистент.docx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