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3.2C</w:t>
      </w:r>
    </w:p>
    <w:p>
      <w:pPr>
        <w:jc w:val="center"/>
      </w:pPr>
      <w:r>
        <w:rPr>
          <w:sz w:val="22"/>
        </w:rPr>
        <w:t xml:space="preserve">Договор — бакалаври и магистри, нова специалност 2025/26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УД-12  ·  Drive: 1-elrnmtp_qSjOFW3zIGEr-GEFodg8t3J</w:t>
      </w:r>
    </w:p>
    <w:p>
      <w:pPr/>
      <w:r>
        <w:rPr>
          <w:i/>
          <w:sz w:val="16"/>
        </w:rPr>
        <w:t xml:space="preserve">Оригинален файл: Dogovor_za_bakalavri_i_magistri_nova_specialnost_2025_2026 (2).doc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