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3.2M</w:t>
      </w:r>
    </w:p>
    <w:p>
      <w:pPr>
        <w:jc w:val="center"/>
      </w:pPr>
      <w:r>
        <w:rPr>
          <w:sz w:val="22"/>
        </w:rPr>
        <w:t xml:space="preserve">Договор за платено обучение — магистър 2025/26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1yL9eaDBPDtPkemHMltWqPifrtk7bMc_g</w:t>
      </w:r>
    </w:p>
    <w:p>
      <w:pPr/>
      <w:r>
        <w:rPr>
          <w:i/>
          <w:sz w:val="16"/>
        </w:rPr>
        <w:t xml:space="preserve">Оригинален файл: Dogovor_za_plateno_obuchenie_magistar_2025_2026.doc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