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Qualification SOP</w:t>
      </w:r>
    </w:p>
    <w:p>
      <w:pPr>
        <w:spacing w:after="280"/>
      </w:pPr>
      <w:r>
        <w:rPr>
          <w:i/>
          <w:color w:val="666666"/>
          <w:sz w:val="24"/>
        </w:rPr>
        <w:t>How to qualify without sounding like a robot</w:t>
      </w:r>
    </w:p>
    <w:p>
      <w:pPr>
        <w:spacing w:after="200"/>
      </w:pPr>
      <w:r>
        <w:rPr>
          <w:b/>
        </w:rPr>
        <w:t xml:space="preserve">The goal: </w:t>
      </w:r>
      <w:r>
        <w:t xml:space="preserve">Get the prospect to say the pain out loud themselves, then pivot straight into </w:t>
      </w:r>
      <w:r>
        <w:rPr>
          <w:i/>
        </w:rPr>
        <w:t>"here's how we're fixing exactly that on our call."</w:t>
      </w:r>
      <w:r>
        <w:t xml:space="preserve"> Qualification isn't small talk — it's setting up the pitch.</w:t>
      </w:r>
    </w:p>
    <w:p>
      <w:pPr>
        <w:spacing w:after="280"/>
        <w:ind w:left="288"/>
      </w:pPr>
      <w:r>
        <w:rPr>
          <w:b/>
          <w:sz w:val="22"/>
        </w:rPr>
        <w:t xml:space="preserve">Watch this first: </w:t>
      </w:r>
      <w:r>
        <w:rPr>
          <w:sz w:val="22"/>
        </w:rPr>
        <w:t>Our Apr 3 training call walks through this exact framework. Rewatch it before calls until it feels second nature.</w:t>
        <w:br/>
      </w:r>
      <w:r>
        <w:rPr>
          <w:color w:val="1A56DB"/>
          <w:sz w:val="22"/>
        </w:rPr>
        <w:t>https://fathom.video/share/PpxHrufMpaxKDE_yXp5PmwvZPGvcQEN6</w:t>
      </w:r>
    </w:p>
    <w:p>
      <w:pPr>
        <w:pStyle w:val="Heading1"/>
      </w:pPr>
      <w:r>
        <w:rPr>
          <w:color w:val="111111"/>
        </w:rPr>
        <w:t>The 3-Step Loop</w:t>
      </w:r>
    </w:p>
    <w:p>
      <w:pPr>
        <w:spacing w:after="200"/>
        <w:jc w:val="center"/>
      </w:pPr>
      <w:r>
        <w:rPr>
          <w:b/>
          <w:sz w:val="26"/>
        </w:rPr>
        <w:t>ACKNOWLEDGE  →  BUILD  →  BRIDGE</w:t>
      </w:r>
    </w:p>
    <w:p>
      <w:pPr>
        <w:pStyle w:val="ListBullet"/>
        <w:spacing w:after="60"/>
      </w:pPr>
      <w:r>
        <w:rPr>
          <w:b/>
          <w:sz w:val="22"/>
        </w:rPr>
        <w:t xml:space="preserve">Acknowledge — </w:t>
      </w:r>
      <w:r>
        <w:rPr>
          <w:sz w:val="22"/>
        </w:rPr>
        <w:t>repeat what they said in one short sentence. Makes them feel heard.</w:t>
      </w:r>
    </w:p>
    <w:p>
      <w:pPr>
        <w:pStyle w:val="ListBullet"/>
        <w:spacing w:after="60"/>
      </w:pPr>
      <w:r>
        <w:rPr>
          <w:b/>
          <w:sz w:val="22"/>
        </w:rPr>
        <w:t xml:space="preserve">Build — </w:t>
      </w:r>
      <w:r>
        <w:rPr>
          <w:sz w:val="22"/>
        </w:rPr>
        <w:t>ask an implication question that expands their pain. They admit the weakness themselves.</w:t>
      </w:r>
    </w:p>
    <w:p>
      <w:pPr>
        <w:pStyle w:val="ListBullet"/>
        <w:spacing w:after="60"/>
      </w:pPr>
      <w:r>
        <w:rPr>
          <w:b/>
          <w:sz w:val="22"/>
        </w:rPr>
        <w:t xml:space="preserve">Bridge — </w:t>
      </w:r>
      <w:r>
        <w:rPr>
          <w:sz w:val="22"/>
        </w:rPr>
        <w:t>pivot into the value prop. "On our call I'll show you how we're fixing exactly that…"</w:t>
      </w:r>
    </w:p>
    <w:p>
      <w:pPr>
        <w:spacing w:before="120" w:after="240"/>
      </w:pPr>
      <w:r>
        <w:rPr>
          <w:b/>
        </w:rPr>
        <w:t xml:space="preserve">Critical rule: </w:t>
      </w:r>
      <w:r>
        <w:t>Build only after Q2. Q1 is just situational context — acknowledge and move on.</w:t>
      </w:r>
    </w:p>
    <w:p>
      <w:pPr>
        <w:pStyle w:val="Heading1"/>
      </w:pPr>
      <w:r>
        <w:rPr>
          <w:color w:val="111111"/>
        </w:rPr>
        <w:t>Q1 — What are you currently doing for lead generation?</w:t>
      </w:r>
    </w:p>
    <w:p>
      <w:pPr>
        <w:spacing w:after="160"/>
      </w:pPr>
      <w:r>
        <w:rPr>
          <w:b w:val="0"/>
          <w:i/>
          <w:color w:val="666666"/>
          <w:sz w:val="22"/>
        </w:rPr>
        <w:t>Acknowledge only. Don't probe. Move straight to Q2.</w:t>
      </w:r>
    </w:p>
    <w:tbl>
      <w:tblPr>
        <w:tblW w:type="auto" w:w="0"/>
        <w:tblLayout w:type="fixed"/>
        <w:tblLook w:firstColumn="1" w:firstRow="1" w:lastColumn="0" w:lastRow="0" w:noHBand="0" w:noVBand="1" w:val="04A0"/>
      </w:tblPr>
      <w:tblGrid>
        <w:gridCol w:w="4824"/>
        <w:gridCol w:w="4824"/>
      </w:tblGrid>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Referrals</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"Got it, so mostly word of mouth."</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Google Ads / paid</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"Okay, so paid search."</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In-house SDRs</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"Nice, so you've got a team running outbound."</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Trade shows</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"Got it, so events are driving it."</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LinkedIn / social</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"Okay, LinkedIn is the main channel."</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Email marketing</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"Got it, so email is carrying it."</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Inbound only</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"Got it, so inbound is doing the work."</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Agency / vendor</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"Okay, so you've outsourced it."</w:t>
            </w:r>
          </w:p>
        </w:tc>
      </w:tr>
    </w:tbl>
    <w:p>
      <w:pPr>
        <w:spacing w:before="160" w:after="240"/>
      </w:pPr>
      <w:r>
        <w:rPr>
          <w:b/>
        </w:rPr>
        <w:t xml:space="preserve">If they go silent: </w:t>
      </w:r>
      <w:r>
        <w:rPr>
          <w:i/>
        </w:rPr>
        <w:t>"Got it — anything else, or is that the main channel?"</w:t>
      </w:r>
    </w:p>
    <w:p>
      <w:pPr>
        <w:pStyle w:val="Heading1"/>
      </w:pPr>
      <w:r>
        <w:rPr>
          <w:color w:val="111111"/>
        </w:rPr>
        <w:t>Q2 — What would you want to improve about it?</w:t>
      </w:r>
    </w:p>
    <w:p>
      <w:pPr>
        <w:spacing w:after="160"/>
      </w:pPr>
      <w:r>
        <w:rPr>
          <w:b w:val="0"/>
          <w:i/>
          <w:color w:val="666666"/>
          <w:sz w:val="22"/>
        </w:rPr>
        <w:t>This is the money question. Acknowledge + hit them with the implication.</w:t>
      </w:r>
    </w:p>
    <w:tbl>
      <w:tblPr>
        <w:tblW w:type="auto" w:w="0"/>
        <w:tblLayout w:type="fixed"/>
        <w:tblLook w:firstColumn="1" w:firstRow="1" w:lastColumn="0" w:lastRow="0" w:noHBand="0" w:noVBand="1" w:val="04A0"/>
      </w:tblPr>
      <w:tblGrid>
        <w:gridCol w:w="4824"/>
        <w:gridCol w:w="4824"/>
      </w:tblGrid>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Not enough volume</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"Yeah, so is what you're doing giving you the growth you're looking for?"</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Bad lead quality</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"Got it. So you're often talking to the wrong people or small accounts?"</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Inconsistent</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"Makes sense. So you can't really forecast pipeline month to month?"</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Too expensive / bad ROI</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"Got it. And is that sustainable at the scale you want to hit?"</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Hard to scale</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"So right now growth is capped by how much your team can personally handle?"</w:t>
            </w:r>
          </w:p>
        </w:tc>
      </w:tr>
      <w:tr>
        <w:tc>
          <w:tcPr>
            <w:tcW w:type="dxa" w:w="2304"/>
            <w:vAlign w:val="top"/>
            <w:tcBorders>
              <w:top w:val="single" w:sz="4" w:space="0" w:color="DDDDDD"/>
              <w:left w:val="single" w:sz="4" w:space="0" w:color="FFFFFF"/>
              <w:bottom w:val="single" w:sz="4" w:space="0" w:color="DDDDDD"/>
              <w:right w:val="single" w:sz="4" w:space="0" w:color="FFFFFF"/>
            </w:tcBorders>
          </w:tcPr>
          <w:p>
            <w:pPr>
              <w:spacing w:after="40"/>
            </w:pPr>
            <w:r>
              <w:rPr>
                <w:b/>
                <w:sz w:val="20"/>
              </w:rPr>
              <w:t>Can't measure it</w:t>
            </w:r>
          </w:p>
        </w:tc>
        <w:tc>
          <w:tcPr>
            <w:tcW w:type="dxa" w:w="6912"/>
            <w:vAlign w:val="top"/>
            <w:tcBorders>
              <w:top w:val="single" w:sz="4" w:space="0" w:color="DDDDDD"/>
              <w:left w:val="single" w:sz="4" w:space="0" w:color="FFFFFF"/>
              <w:bottom w:val="single" w:sz="4" w:space="0" w:color="DDDDDD"/>
              <w:right w:val="single" w:sz="4" w:space="0" w:color="FFFFFF"/>
            </w:tcBorders>
          </w:tcPr>
          <w:p>
            <w:pPr>
              <w:spacing w:after="40"/>
            </w:pPr>
            <w:r>
              <w:rPr>
                <w:sz w:val="20"/>
              </w:rPr>
              <w:t>"Yeah, so you're flying a bit blind on what's actually driving revenue?"</w:t>
            </w:r>
          </w:p>
        </w:tc>
      </w:tr>
    </w:tbl>
    <w:p>
      <w:pPr>
        <w:pStyle w:val="Heading1"/>
      </w:pPr>
      <w:r>
        <w:rPr>
          <w:color w:val="111111"/>
        </w:rPr>
        <w:t>Step 3 — Bridge Into the Value Prop</w:t>
      </w:r>
    </w:p>
    <w:p>
      <w:pPr>
        <w:spacing w:after="200"/>
      </w:pPr>
      <w:r>
        <w:rPr>
          <w:b w:val="0"/>
          <w:i/>
          <w:color w:val="666666"/>
          <w:sz w:val="22"/>
        </w:rPr>
        <w:t>Every pain collapses into one of two problems. Pick the matching bridge and deliver it.</w:t>
      </w:r>
    </w:p>
    <w:p>
      <w:pPr>
        <w:spacing w:after="80"/>
      </w:pPr>
      <w:r>
        <w:rPr>
          <w:b/>
          <w:sz w:val="24"/>
        </w:rPr>
        <w:t>If the pain is VOLUME (not enough leads)</w:t>
      </w:r>
    </w:p>
    <w:p>
      <w:pPr>
        <w:spacing w:after="160"/>
        <w:ind w:left="432"/>
      </w:pPr>
      <w:r>
        <w:rPr>
          <w:i/>
          <w:color w:val="444444"/>
          <w:sz w:val="22"/>
        </w:rPr>
        <w:t>"Got it — and that's exactly why I reached out. On our call I'll show you how we're helping companies like Swag.com and Imprint Engine identify hundreds of companies every week who are attending large nearby events, opening new offices, or rebranding — basically companies already in buying mode for merch, so your team stops starting every month from zero."</w:t>
      </w:r>
    </w:p>
    <w:p>
      <w:pPr>
        <w:spacing w:after="240"/>
      </w:pPr>
      <w:r>
        <w:rPr>
          <w:b w:val="0"/>
          <w:i/>
          <w:color w:val="888888"/>
          <w:sz w:val="20"/>
        </w:rPr>
        <w:t>Use for: not enough volume · inconsistent · hard to scale · takes too long</w:t>
      </w:r>
    </w:p>
    <w:p>
      <w:pPr>
        <w:spacing w:after="80"/>
      </w:pPr>
      <w:r>
        <w:rPr>
          <w:b/>
          <w:sz w:val="24"/>
        </w:rPr>
        <w:t>If the pain is QUALITY (not enough qualified leads)</w:t>
      </w:r>
    </w:p>
    <w:p>
      <w:pPr>
        <w:spacing w:after="160"/>
        <w:ind w:left="432"/>
      </w:pPr>
      <w:r>
        <w:rPr>
          <w:i/>
          <w:color w:val="444444"/>
          <w:sz w:val="22"/>
        </w:rPr>
        <w:t>"Got it — and that's exactly why I reached out. On our call I'll show you how we surface only companies with active buying intent — the ones attending events needing thousands of units, going through a rebrand, or opening new offices. So you're not wasting time on small accounts or window shoppers. We've used this same system to book meetings at Hilton, Stripe and Uber."</w:t>
      </w:r>
    </w:p>
    <w:p>
      <w:pPr>
        <w:spacing w:after="240"/>
      </w:pPr>
      <w:r>
        <w:rPr>
          <w:b w:val="0"/>
          <w:i/>
          <w:color w:val="888888"/>
          <w:sz w:val="20"/>
        </w:rPr>
        <w:t>Use for: bad lead quality · too expensive / bad ROI · can't measure what's working</w:t>
      </w:r>
    </w:p>
    <w:p>
      <w:pPr>
        <w:spacing w:after="80"/>
      </w:pPr>
      <w:r>
        <w:rPr>
          <w:b/>
          <w:sz w:val="24"/>
        </w:rPr>
        <w:t>If they express both</w:t>
      </w:r>
    </w:p>
    <w:p>
      <w:pPr>
        <w:spacing w:after="160"/>
        <w:ind w:left="432"/>
      </w:pPr>
      <w:r>
        <w:rPr>
          <w:i/>
          <w:color w:val="444444"/>
          <w:sz w:val="22"/>
        </w:rPr>
        <w:t>"Got it — and that's exactly why I reached out. On our call I'll show you how we're helping companies like Swag.com and Imprint Engine get in front of hundreds of companies every week who are already in buying mode for merch — attending events, rebranding, opening offices — so you're not just getting more leads, you're getting the right ones. We've used this to book meetings at Hilton, Stripe and Uber."</w:t>
      </w:r>
    </w:p>
    <w:p>
      <w:pPr>
        <w:pStyle w:val="Heading1"/>
      </w:pPr>
      <w:r>
        <w:rPr>
          <w:color w:val="111111"/>
        </w:rPr>
        <w:t>Close With the Ask</w:t>
      </w:r>
    </w:p>
    <w:p>
      <w:pPr>
        <w:spacing w:after="80"/>
      </w:pPr>
      <w:r>
        <w:rPr>
          <w:b w:val="0"/>
          <w:i w:val="0"/>
          <w:sz w:val="22"/>
        </w:rPr>
        <w:t>Straight after the bridge, no pause:</w:t>
      </w:r>
    </w:p>
    <w:p>
      <w:pPr>
        <w:spacing w:after="160"/>
        <w:ind w:left="432"/>
      </w:pPr>
      <w:r>
        <w:rPr>
          <w:i/>
          <w:color w:val="444444"/>
          <w:sz w:val="22"/>
        </w:rPr>
        <w:t>"So — is tomorrow or the day after better for a quick visual demo?"</w:t>
      </w:r>
    </w:p>
    <w:p>
      <w:pPr>
        <w:pStyle w:val="Heading1"/>
      </w:pPr>
      <w:r>
        <w:rPr>
          <w:color w:val="111111"/>
        </w:rPr>
        <w:t>The 4 Rules</w:t>
      </w:r>
    </w:p>
    <w:p>
      <w:pPr>
        <w:pStyle w:val="ListBullet"/>
        <w:spacing w:after="60"/>
      </w:pPr>
      <w:r>
        <w:rPr>
          <w:b/>
          <w:sz w:val="22"/>
        </w:rPr>
        <w:t xml:space="preserve">Customize, don't script. </w:t>
      </w:r>
      <w:r>
        <w:rPr>
          <w:sz w:val="22"/>
        </w:rPr>
        <w:t>Match the template to their actual answer.</w:t>
      </w:r>
    </w:p>
    <w:p>
      <w:pPr>
        <w:pStyle w:val="ListBullet"/>
        <w:spacing w:after="60"/>
      </w:pPr>
      <w:r>
        <w:rPr>
          <w:b/>
          <w:sz w:val="22"/>
        </w:rPr>
        <w:t xml:space="preserve">Build comes after Q2 only. </w:t>
      </w:r>
      <w:r>
        <w:rPr>
          <w:sz w:val="22"/>
        </w:rPr>
        <w:t>Q1 is just context.</w:t>
      </w:r>
    </w:p>
    <w:p>
      <w:pPr>
        <w:pStyle w:val="ListBullet"/>
        <w:spacing w:after="60"/>
      </w:pPr>
      <w:r>
        <w:rPr>
          <w:b/>
          <w:sz w:val="22"/>
        </w:rPr>
        <w:t xml:space="preserve">Sell, don't tell. </w:t>
      </w:r>
      <w:r>
        <w:rPr>
          <w:sz w:val="22"/>
        </w:rPr>
        <w:t>The build makes them say the pain — you don't lecture.</w:t>
      </w:r>
    </w:p>
    <w:p>
      <w:pPr>
        <w:pStyle w:val="ListBullet"/>
        <w:spacing w:after="60"/>
      </w:pPr>
      <w:r>
        <w:rPr>
          <w:b/>
          <w:sz w:val="22"/>
        </w:rPr>
        <w:t xml:space="preserve">The bridge is mandatory. </w:t>
      </w:r>
      <w:r>
        <w:rPr>
          <w:sz w:val="22"/>
        </w:rPr>
        <w:t>Every pain admission must be followed by the bridge. Never leave pain hanging.</w:t>
      </w:r>
    </w:p>
    <w:p>
      <w:pPr>
        <w:pStyle w:val="Heading1"/>
      </w:pPr>
      <w:r>
        <w:rPr>
          <w:color w:val="111111"/>
        </w:rPr>
        <w:t>Daily Drill (10 min before calls)</w:t>
      </w:r>
    </w:p>
    <w:p>
      <w:pPr>
        <w:pStyle w:val="ListBullet"/>
        <w:spacing w:after="60"/>
      </w:pPr>
      <w:r>
        <w:rPr>
          <w:sz w:val="22"/>
        </w:rPr>
        <w:t>Read the Q1 and Q2 tables out loud.</w:t>
      </w:r>
    </w:p>
    <w:p>
      <w:pPr>
        <w:pStyle w:val="ListBullet"/>
        <w:spacing w:after="60"/>
      </w:pPr>
      <w:r>
        <w:rPr>
          <w:sz w:val="22"/>
        </w:rPr>
        <w:t>Pick 3 random Q2 answers and run the full loop: acknowledge → build → bridge → ask.</w:t>
      </w:r>
    </w:p>
    <w:p>
      <w:pPr>
        <w:pStyle w:val="ListBullet"/>
        <w:spacing w:after="60"/>
      </w:pPr>
      <w:r>
        <w:rPr>
          <w:sz w:val="22"/>
        </w:rPr>
        <w:t>Alternate which bridge (volume vs quality) you're practicing.</w:t>
      </w:r>
    </w:p>
    <w:p>
      <w:pPr>
        <w:pStyle w:val="ListBullet"/>
        <w:spacing w:after="60"/>
      </w:pPr>
      <w:r>
        <w:rPr>
          <w:sz w:val="22"/>
        </w:rPr>
        <w:t>Rewatch 2 minutes of the training call once a week.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