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ΩFULL_COMPANY_NAMEΩ</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ΩCOMPANY_WEBSITEΩ</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ΩDATEΩ</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8DCFB"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696E6"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60C92"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ΩSHORT_COMPANY_NAMEΩ</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ΩCONTACT_CITY</w:t>
            </w:r>
            <w:r w:rsidRPr="0046075D">
              <w:t>Ω</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ΩCONTACT_STATE</w:t>
            </w:r>
            <w:r w:rsidRPr="0046075D">
              <w:t>Ω</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ΩCONTACT_ZIP</w:t>
            </w:r>
            <w:r w:rsidRPr="0046075D">
              <w:t>Ω</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ΩCOMPANY_WEBSITE</w:t>
            </w:r>
            <w:r w:rsidR="00CE7591" w:rsidRPr="00CE7591">
              <w:t>Ω</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ΩCONTACT_NAME</w:t>
            </w:r>
            <w:r w:rsidRPr="00255A74">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ΩCONTACT_TITLE</w:t>
            </w:r>
            <w:r w:rsidRPr="00B050E9">
              <w:t>Ω</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ΩCONTACT_PHONE</w:t>
            </w:r>
            <w:r w:rsidRPr="003B1D59">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ΩCONTACT_EMAIL</w:t>
            </w:r>
            <w:r w:rsidRPr="00E55C84">
              <w:t>Ω</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ΩCONSULTANT_NAME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Ω</w:t>
            </w:r>
            <w:r w:rsidR="00D41BC6">
              <w:t>CONSULTANT_TITLE</w:t>
            </w:r>
            <w:r w:rsidR="00D41BC6" w:rsidRPr="00D41BC6">
              <w:t>Ω</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Ω CONSULTANT_PHONE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Ω CONSULTANT_EMAIL</w:t>
            </w:r>
            <w:r w:rsidRPr="00D41BC6">
              <w:t>Ω</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3F1827"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ΩCOMPANY_WEBSITEΩ.</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ΩSHORT_COMPANY_NAMEΩ</w:t>
      </w:r>
      <w:r>
        <w:t xml:space="preserve"> Portal and underlying IT infrastructure services accessible from the public networks at </w:t>
      </w:r>
      <w:r w:rsidRPr="00400C73">
        <w:rPr>
          <w:rFonts w:eastAsia="Times New Roman"/>
          <w:kern w:val="12"/>
          <w:szCs w:val="20"/>
        </w:rPr>
        <w:t>ΩCOMPANY_WEBSITEΩ</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t>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ΩSHORT_COMPANY_NAMEΩ</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ΩSHORT_COMPANY_NAMEΩ</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æreport</w:t>
            </w:r>
            <w:proofErr w:type="spellEnd"/>
            <w:r w:rsidRPr="00A51FF6">
              <w:t>/</w:t>
            </w:r>
            <w:proofErr w:type="spellStart"/>
            <w:r w:rsidRPr="00A51FF6">
              <w:t>find</w:t>
            </w:r>
            <w:r w:rsidR="00F66143">
              <w:t>ings_list</w:t>
            </w:r>
            <w:proofErr w:type="spellEnd"/>
            <w:r w:rsidR="00F66143">
              <w:t>/findings:::risk=4</w:t>
            </w:r>
            <w:r w:rsidRPr="00A51FF6">
              <w:t>æ ∞title∞</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&lt;MOAR STUFF&gt;</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t>
      </w:r>
      <w:r>
        <w:rPr>
          <w:spacing w:val="-5"/>
          <w:lang w:eastAsia="fr-FR"/>
        </w:rPr>
        <w:t>to</w:t>
      </w:r>
      <w:r w:rsidR="00F66143">
        <w:rPr>
          <w:spacing w:val="-5"/>
          <w:lang w:eastAsia="fr-FR"/>
        </w:rPr>
        <w:t xml:space="preserve"> </w:t>
      </w:r>
      <w:r w:rsidR="001725AA">
        <w:t>ΩCOMPANY_WEBSITE</w:t>
      </w:r>
      <w:r w:rsidR="001725AA" w:rsidRPr="00CE7591">
        <w:t>Ω</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proofErr w:type="spellStart"/>
            <w:r>
              <w:rPr>
                <w:rFonts w:cs="Arial"/>
                <w:lang w:eastAsia="fr-FR"/>
              </w:rPr>
              <w:t>Graphe</w:t>
            </w:r>
            <w:proofErr w:type="spellEnd"/>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 xml:space="preserve">In </w:t>
      </w:r>
      <w:proofErr w:type="gramStart"/>
      <w:r w:rsidRPr="00583B0B">
        <w:rPr>
          <w:rFonts w:cs="Arial"/>
          <w:lang w:eastAsia="fr-FR"/>
        </w:rPr>
        <w:t>conclusion</w:t>
      </w:r>
      <w:r w:rsidR="0055458F">
        <w:rPr>
          <w:rFonts w:cs="Arial"/>
          <w:lang w:eastAsia="fr-FR"/>
        </w:rPr>
        <w:t xml:space="preserve"> :</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6" w:name="_Toc437466403"/>
      <w:r>
        <w:lastRenderedPageBreak/>
        <w:t>Audit Methodology</w:t>
      </w:r>
      <w:bookmarkEnd w:id="6"/>
    </w:p>
    <w:p w:rsidR="00583B0B" w:rsidRDefault="00583B0B" w:rsidP="00583B0B">
      <w:pPr>
        <w:pStyle w:val="Titre2"/>
        <w:keepLines w:val="0"/>
        <w:numPr>
          <w:ilvl w:val="0"/>
          <w:numId w:val="13"/>
        </w:numPr>
        <w:spacing w:before="300" w:after="300" w:line="240" w:lineRule="atLeast"/>
        <w:jc w:val="both"/>
      </w:pPr>
      <w:bookmarkStart w:id="7" w:name="_Toc437466404"/>
      <w:r>
        <w:t>Types of test</w:t>
      </w:r>
      <w:bookmarkEnd w:id="7"/>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3F1827"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3F1827"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8" w:name="_Toc437466405"/>
      <w:r>
        <w:t>Risk assessment methodology</w:t>
      </w:r>
      <w:bookmarkEnd w:id="8"/>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&amp;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9" w:name="_Toc296697942"/>
      <w:bookmarkStart w:id="10" w:name="_Toc437466406"/>
      <w:r>
        <w:t xml:space="preserve">Risk Metrics &amp; </w:t>
      </w:r>
      <w:bookmarkEnd w:id="9"/>
      <w:r>
        <w:t>Rating</w:t>
      </w:r>
      <w:bookmarkEnd w:id="10"/>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1"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1"/>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t>
            </w:r>
            <w:r w:rsidR="00D908AB" w:rsidRPr="0091215B">
              <w:rPr>
                <w:rFonts w:cs="Arial"/>
                <w:b/>
                <w:bCs/>
                <w:color w:val="EEEEEE"/>
              </w:rPr>
              <w:t xml:space="preserve">EY </w:t>
            </w:r>
            <w:proofErr w:type="spellStart"/>
            <w:r w:rsidR="00D908AB"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2" w:name="_Toc437357255"/>
      <w:r>
        <w:lastRenderedPageBreak/>
        <w:t xml:space="preserve">Full list of </w:t>
      </w:r>
      <w:bookmarkEnd w:id="12"/>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C42B8"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π</w:t>
            </w:r>
            <w:proofErr w:type="spellStart"/>
            <w:r>
              <w:t>affected_hosts</w:t>
            </w:r>
            <w:proofErr w:type="spellEnd"/>
            <w:r w:rsidRPr="001B4290">
              <w:t>π</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¬report/</w:t>
      </w:r>
      <w:proofErr w:type="spellStart"/>
      <w:r w:rsidRPr="00DB6C2F">
        <w:t>findings_list</w:t>
      </w:r>
      <w:proofErr w:type="spellEnd"/>
      <w:r w:rsidRPr="00DB6C2F">
        <w:t>/findings::</w:t>
      </w:r>
      <w:proofErr w:type="gramStart"/>
      <w:r w:rsidRPr="00DB6C2F">
        <w:t>:</w:t>
      </w:r>
      <w:r w:rsidR="002739F9">
        <w:t>risk</w:t>
      </w:r>
      <w:proofErr w:type="gramEnd"/>
      <w:r w:rsidR="002739F9">
        <w:t>&lt;5</w:t>
      </w:r>
      <w:r w:rsidRPr="00DB6C2F">
        <w:t>¬</w:t>
      </w:r>
    </w:p>
    <w:p w:rsidR="002739F9" w:rsidRDefault="002739F9" w:rsidP="00DB6C2F">
      <w:r>
        <w:t xml:space="preserve">† </w:t>
      </w:r>
      <w:proofErr w:type="gramStart"/>
      <w:r>
        <w:t>risk</w:t>
      </w:r>
      <w:proofErr w:type="gramEnd"/>
      <w:r>
        <w:t xml:space="preserve"> = 4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π</w:t>
            </w:r>
            <w:proofErr w:type="spellStart"/>
            <w:r w:rsidR="00EF30BB">
              <w:t>cvss_total</w:t>
            </w:r>
            <w:proofErr w:type="spellEnd"/>
            <w:r w:rsidR="00EF30BB" w:rsidRPr="001B4290">
              <w:t>π</w:t>
            </w:r>
            <w:bookmarkStart w:id="13" w:name="_GoBack"/>
            <w:bookmarkEnd w:id="13"/>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r w:rsidRPr="001204F5">
              <w:rPr>
                <w:lang w:val="en-US"/>
              </w:rPr>
              <w:t xml:space="preserve">¬overview/paragraph¬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Default="001204F5" w:rsidP="001204F5">
            <w:proofErr w:type="spellStart"/>
            <w:r w:rsidRPr="001D1C9E">
              <w:t>ƒitalicsƒ</w:t>
            </w:r>
            <w:proofErr w:type="spellEnd"/>
            <w:r w:rsidRPr="001D1C9E">
              <w:t xml:space="preserve"> </w:t>
            </w:r>
            <w:r w:rsidRPr="001D1C9E">
              <w:rPr>
                <w:i/>
              </w:rPr>
              <w:t>π.π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1204F5" w:rsidRDefault="001204F5" w:rsidP="001204F5">
            <w:r w:rsidRPr="001D1C9E">
              <w:t>÷ π.π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πeffortπ</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bookmarkStart w:id="14" w:name="_Hlk437468528"/>
            <w:r w:rsidRPr="001204F5">
              <w:rPr>
                <w:lang w:val="en-US"/>
              </w:rPr>
              <w:t xml:space="preserve">¬remediation/paragraph¬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Pr="001204F5" w:rsidRDefault="001204F5" w:rsidP="001204F5">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2977A5" w:rsidRPr="001204F5" w:rsidRDefault="001204F5" w:rsidP="001204F5">
            <w:r w:rsidRPr="001D1C9E">
              <w:t>÷ π.π ≠</w:t>
            </w:r>
          </w:p>
        </w:tc>
      </w:tr>
    </w:tbl>
    <w:bookmarkEnd w:id="14"/>
    <w:p w:rsidR="00592AA4" w:rsidRDefault="002739F9" w:rsidP="00DB6C2F">
      <w:r>
        <w:t>¥</w:t>
      </w:r>
    </w:p>
    <w:p w:rsidR="00DF193E" w:rsidRDefault="002739F9" w:rsidP="00DF193E">
      <w:r>
        <w:t xml:space="preserve">† </w:t>
      </w:r>
      <w:proofErr w:type="gramStart"/>
      <w:r>
        <w:t>risk</w:t>
      </w:r>
      <w:proofErr w:type="gramEnd"/>
      <w:r>
        <w:t xml:space="preserve"> = 3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2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lastRenderedPageBreak/>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lastRenderedPageBreak/>
        <w:t>¥</w:t>
      </w:r>
    </w:p>
    <w:p w:rsidR="00DF193E" w:rsidRDefault="002739F9" w:rsidP="00DF193E">
      <w:r>
        <w:t xml:space="preserve">† </w:t>
      </w:r>
      <w:proofErr w:type="gramStart"/>
      <w:r>
        <w:t>risk</w:t>
      </w:r>
      <w:proofErr w:type="gramEnd"/>
      <w:r>
        <w:t xml:space="preserve"> = 1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827" w:rsidRDefault="003F1827" w:rsidP="009B44E3">
      <w:pPr>
        <w:spacing w:after="0" w:line="240" w:lineRule="auto"/>
      </w:pPr>
      <w:r>
        <w:separator/>
      </w:r>
    </w:p>
  </w:endnote>
  <w:endnote w:type="continuationSeparator" w:id="0">
    <w:p w:rsidR="003F1827" w:rsidRDefault="003F1827"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827" w:rsidRDefault="003F1827" w:rsidP="009B44E3">
      <w:pPr>
        <w:spacing w:after="0" w:line="240" w:lineRule="auto"/>
      </w:pPr>
      <w:r>
        <w:separator/>
      </w:r>
    </w:p>
  </w:footnote>
  <w:footnote w:type="continuationSeparator" w:id="0">
    <w:p w:rsidR="003F1827" w:rsidRDefault="003F1827"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3F1827">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1204F5"/>
    <w:rsid w:val="00161D44"/>
    <w:rsid w:val="001725AA"/>
    <w:rsid w:val="00197EF2"/>
    <w:rsid w:val="001A1447"/>
    <w:rsid w:val="001B4290"/>
    <w:rsid w:val="001C6321"/>
    <w:rsid w:val="001D1C9E"/>
    <w:rsid w:val="002342EB"/>
    <w:rsid w:val="00255A74"/>
    <w:rsid w:val="002739F9"/>
    <w:rsid w:val="002965F7"/>
    <w:rsid w:val="002977A5"/>
    <w:rsid w:val="002B583B"/>
    <w:rsid w:val="002B7897"/>
    <w:rsid w:val="002C7442"/>
    <w:rsid w:val="002F6186"/>
    <w:rsid w:val="00302249"/>
    <w:rsid w:val="00302DD4"/>
    <w:rsid w:val="0032481C"/>
    <w:rsid w:val="00381CF6"/>
    <w:rsid w:val="00393893"/>
    <w:rsid w:val="00394E99"/>
    <w:rsid w:val="003971AC"/>
    <w:rsid w:val="003B1D59"/>
    <w:rsid w:val="003C29D9"/>
    <w:rsid w:val="003D4331"/>
    <w:rsid w:val="003F1827"/>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0D16B-0EA1-478D-878A-BE67A6C3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15</Pages>
  <Words>2031</Words>
  <Characters>11176</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37</cp:revision>
  <dcterms:created xsi:type="dcterms:W3CDTF">2013-07-01T02:31:00Z</dcterms:created>
  <dcterms:modified xsi:type="dcterms:W3CDTF">2016-04-21T09:50:00Z</dcterms:modified>
</cp:coreProperties>
</file>