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?mso-application progid="Word.Document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>EY</w:t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Pentest</w:t>
      </w:r>
    </w:p>
    <w:p w:rsidR="00302DD4" w:rsidRDefault="00302DD4" w:rsidP="00302DD4">
      <w:pPr>
        <w:pStyle w:val="NoSpacing"/>
      </w:pPr>
      <w:r>
        <w:t>Date 03/25/2016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2353"/>
        <w:gridCol w:w="893"/>
        <w:gridCol w:w="2068"/>
        <w:gridCol w:w="1410"/>
        <w:gridCol w:w="2074"/>
      </w:tblGrid>
      <w:tr w:rsidR="00BF77E9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EY</w:t>
            </w:r>
          </w:p>
        </w:tc>
      </w:tr>
      <w:tr w:rsidR="0046075D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144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CE7591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3"/>
        <w:gridCol w:w="8795"/>
      </w:tblGrid>
      <w:tr w:rsidR="005222C5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9B3DA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</w:tcPr>
          <w:p w:rsidR="00393893" w:rsidRDefault="0005723D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>EY</w:t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/>
      </w:r>
    </w:p>
    <w:p w:rsidR="002F6186" w:rsidRDefault="00A51FF6" w:rsidP="007C0970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2F6186">
        <w:t>There were a number of critical findings during the assessment including the following: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A5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</w:tbl>
    <w:p w:rsidR="002F6186" w:rsidRDefault="002F6186" w:rsidP="007C0970"/>
    <w:p w:rsidR="00A51FF6" w:rsidRDefault="009845BE" w:rsidP="007C0970">
      <w:r>
        <w:t>MOAR STUFF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HTML form without CSRF protection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Quick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Clickjacking: X-Frame-Options header missing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Quick</w:t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>
      <w:r>
        <w:t/>
      </w:r>
    </w:p>
    <w:sectPr w:rsidR="00394E99" w:rsidRPr="009845BE" w:rsidSect="00F23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05723D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965F7"/>
    <w:rsid w:val="002B583B"/>
    <w:rsid w:val="002C7442"/>
    <w:rsid w:val="002F6186"/>
    <w:rsid w:val="00302DD4"/>
    <w:rsid w:val="0032481C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rpicoreport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E4D6-68F2-4BF5-A70C-55673C25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2014-05-29T00:15:00Z</dcterms:modified>
</cp:coreProperties>
</file>