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t</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t</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04/06/2016</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64E2F"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93E5"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EE244"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t</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t</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t</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t</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t</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hadhemiadmin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trainee</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1234</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hadhemisamali@gmail.com</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AE7104"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t.</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t</w:t>
      </w:r>
      <w:r>
        <w:t xml:space="preserve"> Portal and underlying IT infrastructure services accessible from the public networks at </w:t>
      </w:r>
      <w:r w:rsidRPr="00400C73">
        <w:rPr>
          <w:rFonts w:eastAsia="Times New Roman"/>
          <w:kern w:val="12"/>
          <w:szCs w:val="20"/>
        </w:rPr>
        <w:t>t</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t</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t</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exfiltrate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0F6926">
            <w:r w:rsidRPr="00A51FF6">
              <w:t>Clickjacking: X-Frame-Options header missing</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MOAR STUFF</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r>
      <w:r>
        <w:rPr>
          <w:spacing w:val="-5"/>
          <w:lang w:eastAsia="fr-FR"/>
        </w:rPr>
        <w:t>to</w:t>
      </w:r>
      <w:r w:rsidR="00F66143">
        <w:rPr>
          <w:spacing w:val="-5"/>
          <w:lang w:eastAsia="fr-FR"/>
        </w:rPr>
        <w:t xml:space="preserve"/>
      </w:r>
      <w:r w:rsidR="001725AA">
        <w:t>t</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r>
              <w:rPr>
                <w:rFonts w:cs="Arial"/>
                <w:lang w:eastAsia="fr-FR"/>
              </w:rPr>
              <w:t>Graphe</w:t>
            </w:r>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In conclusion</w:t>
      </w:r>
      <w:r w:rsidR="0055458F">
        <w:rPr>
          <w:rFonts w:cs="Arial"/>
          <w:lang w:eastAsia="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AE7104"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AE7104"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A1 - Unvalidated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r>
        <w:t>Unsanitized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Static Analysis (Hex Editor, configuration file, Decompilation)</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r>
            <w:r w:rsidR="00D908AB" w:rsidRPr="0091215B">
              <w:rPr>
                <w:rFonts w:cs="Arial"/>
                <w:b/>
                <w:bCs/>
                <w:color w:val="EEEEEE"/>
              </w:rPr>
              <w:t>EY reference</w:t>
            </w:r>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363F3F">
            <w:pPr>
              <w:rPr>
                <w:rFonts w:cs="Arial"/>
                <w:color w:val="000000"/>
                <w:lang w:val="en-US"/>
              </w:rPr>
            </w:pPr>
            <w:r w:rsidRPr="00C307FA">
              <w:rPr>
                <w:lang w:val="en-US"/>
              </w:rPr>
              <w:t/>
            </w:r>
            <w:r w:rsidRPr="008218E1">
              <w:rPr>
                <w:lang w:val="en-US"/>
              </w:rPr>
              <w:t xml:space="preserve">Clickjacking: X-Frame-Options header missing</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EF40B9">
            <w:pPr>
              <w:rPr>
                <w:rFonts w:cs="Arial"/>
                <w:color w:val="000000"/>
                <w:lang w:val="en-US"/>
              </w:rPr>
            </w:pPr>
            <w:r w:rsidRPr="00C307FA">
              <w:rPr>
                <w:lang w:val="en-US"/>
              </w:rPr>
              <w:t/>
            </w:r>
            <w:r w:rsidRPr="008218E1">
              <w:rPr>
                <w:lang w:val="en-US"/>
              </w:rPr>
              <w:t xml:space="preserve">End of Life Systems In Use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175C22" w:rsidRDefault="00D908AB" w:rsidP="00F66143">
            <w:pPr>
              <w:jc w:val="center"/>
              <w:rPr>
                <w:rFonts w:cs="Arial"/>
                <w:b/>
                <w:bCs/>
                <w:color w:val="000000"/>
                <w:lang w:val="en-US"/>
              </w:rPr>
            </w:pPr>
            <w:r w:rsidRPr="00175C22">
              <w:rPr>
                <w:rFonts w:cs="Arial"/>
                <w:b/>
                <w:bCs/>
                <w:color w:val="000000"/>
                <w:lang w:val="en-US"/>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75C22">
              <w:rPr>
                <w:rFonts w:cs="Arial"/>
                <w:color w:val="000000"/>
                <w:lang w:val="en-US"/>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175C22" w:rsidRDefault="00D908AB" w:rsidP="00F66143">
            <w:pPr>
              <w:jc w:val="center"/>
              <w:rPr>
                <w:rFonts w:cs="Arial"/>
                <w:color w:val="000000"/>
                <w:lang w:val="en-US"/>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75C22" w:rsidRDefault="00D908AB" w:rsidP="00F66143">
            <w:pPr>
              <w:jc w:val="center"/>
              <w:rPr>
                <w:rFonts w:cs="Arial"/>
                <w:color w:val="000000"/>
                <w:sz w:val="16"/>
                <w:szCs w:val="16"/>
                <w:lang w:val="en-US"/>
              </w:rPr>
            </w:pPr>
            <w:r w:rsidRPr="00175C22">
              <w:rPr>
                <w:rFonts w:cs="Arial"/>
                <w:color w:val="000000"/>
                <w:sz w:val="16"/>
                <w:szCs w:val="16"/>
                <w:lang w:val="en-US"/>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3" w:name="_Toc437357255"/>
      <w:r>
        <w:lastRenderedPageBreak/>
        <w:t xml:space="preserve">Full list of </w:t>
      </w:r>
      <w:bookmarkEnd w:id="13"/>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r w:rsidRPr="00C307FA">
              <w:rPr>
                <w:lang w:val="en-US"/>
              </w:rPr>
              <w:t/>
            </w:r>
            <w:r w:rsidRPr="008218E1">
              <w:rPr>
                <w:lang w:val="en-US"/>
              </w:rPr>
              <w:t xml:space="preserve">Clickjacking: X-Frame-Options header missing</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r w:rsidRPr="00C307FA">
              <w:rPr>
                <w:lang w:val="en-US"/>
              </w:rPr>
              <w:t/>
            </w:r>
            <w:r w:rsidRPr="008218E1">
              <w:rPr>
                <w:lang w:val="en-US"/>
              </w:rPr>
              <w:t xml:space="preserve">End of Life Systems In Use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
      </w:r>
    </w:p>
    <w:p w:rsidR="002739F9" w:rsidRDefault="002739F9" w:rsidP="00DB6C2F">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r>
              <w:t>Clickjacking: X-Frame-Options header missing</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9.9</w:t>
            </w: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2B5660" w:rsidRDefault="002B5660" w:rsidP="00F66143">
            <w:pPr>
              <w:spacing w:before="100" w:beforeAutospacing="1" w:after="100" w:afterAutospacing="1"/>
              <w:rPr>
                <w:rFonts w:cs="Tahoma"/>
                <w:lang w:val="en-US"/>
              </w:rPr>
            </w:pPr>
            <w:r>
              <w:rPr>
                <w:rFonts w:cs="Tahoma"/>
                <w:lang w:val="en-US"/>
              </w:rPr>
              <w:t>AV:</w:t>
            </w:r>
            <w:r w:rsidRPr="001B4290">
              <w:t>Network</w:t>
            </w:r>
            <w:r w:rsidRPr="002B5660">
              <w:rPr>
                <w:lang w:val="en-US"/>
              </w:rPr>
              <w:t>/AC :</w:t>
            </w:r>
            <w:r w:rsidRPr="001B4290">
              <w:t>Low</w:t>
            </w:r>
            <w:r w:rsidRPr="002B5660">
              <w:rPr>
                <w:lang w:val="en-US"/>
              </w:rPr>
              <w:t>/PR :</w:t>
            </w:r>
            <w:r w:rsidRPr="001B4290">
              <w:t>Low</w:t>
            </w:r>
            <w:r w:rsidRPr="002B5660">
              <w:rPr>
                <w:lang w:val="en-US"/>
              </w:rPr>
              <w:t>/UI :</w:t>
            </w:r>
            <w:r w:rsidRPr="001B4290">
              <w:t>None</w:t>
            </w:r>
            <w:r w:rsidRPr="002B5660">
              <w:rPr>
                <w:lang w:val="en-US"/>
              </w:rPr>
              <w:t>/</w:t>
            </w:r>
            <w:r>
              <w:rPr>
                <w:lang w:val="en-US"/>
              </w:rPr>
              <w:t>S:</w:t>
            </w:r>
            <w:r w:rsidRPr="001B4290">
              <w:t>Changed</w:t>
            </w:r>
            <w:r w:rsidRPr="002B5660">
              <w:rPr>
                <w:lang w:val="en-US"/>
              </w:rPr>
              <w:t>/C :</w:t>
            </w:r>
            <w:r w:rsidRPr="001B4290">
              <w:t>High</w:t>
            </w:r>
            <w:r w:rsidRPr="002B5660">
              <w:rPr>
                <w:lang w:val="en-US"/>
              </w:rPr>
              <w:t>/I :</w:t>
            </w:r>
            <w:r w:rsidRPr="001B4290">
              <w:t>High</w:t>
            </w:r>
            <w:r w:rsidRPr="002B5660">
              <w:rPr>
                <w:lang w:val="en-US"/>
              </w:rPr>
              <w:t>/A :</w:t>
            </w:r>
            <w:r w:rsidRPr="001B4290">
              <w:t>High</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 &lt;br/&gt;&lt;br/&gt;</w:t>
            </w:r>
          </w:p>
          <w:p>
            <w:r>
              <w:t>The server didn't return an X-Frame-Options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r>
              <w:t>The impact depends on the affected web application.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r>
              <w:t>End of Life Systems In Use</w:t>
            </w:r>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sidRPr="001B4290">
              <w:t>7.0</w:t>
            </w: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363F3F" w:rsidP="00F66143">
            <w:pPr>
              <w:spacing w:before="100" w:beforeAutospacing="1" w:after="100" w:afterAutospacing="1"/>
              <w:rPr>
                <w:rFonts w:cs="Tahoma"/>
                <w:lang w:val="en-US"/>
              </w:rPr>
            </w:pPr>
            <w:r>
              <w:rPr>
                <w:rFonts w:cs="Tahoma"/>
                <w:lang w:val="en-US"/>
              </w:rPr>
              <w:t>AV:</w:t>
            </w:r>
            <w:r w:rsidRPr="001B4290">
              <w:t>Local</w:t>
            </w:r>
            <w:r w:rsidRPr="002B5660">
              <w:rPr>
                <w:lang w:val="en-US"/>
              </w:rPr>
              <w:t>/AC :</w:t>
            </w:r>
            <w:r w:rsidRPr="001B4290">
              <w:t>High</w:t>
            </w:r>
            <w:r w:rsidRPr="002B5660">
              <w:rPr>
                <w:lang w:val="en-US"/>
              </w:rPr>
              <w:t>/PR :</w:t>
            </w:r>
            <w:r w:rsidRPr="001B4290">
              <w:t>None</w:t>
            </w:r>
            <w:r w:rsidRPr="002B5660">
              <w:rPr>
                <w:lang w:val="en-US"/>
              </w:rPr>
              <w:t>/UI :</w:t>
            </w:r>
            <w:r w:rsidRPr="001B4290">
              <w:t>Required</w:t>
            </w:r>
            <w:r w:rsidRPr="002B5660">
              <w:rPr>
                <w:lang w:val="en-US"/>
              </w:rPr>
              <w:t>/</w:t>
            </w:r>
            <w:r>
              <w:rPr>
                <w:lang w:val="en-US"/>
              </w:rPr>
              <w:t>S:</w:t>
            </w:r>
            <w:r w:rsidRPr="001B4290">
              <w:t>Unchanged</w:t>
            </w:r>
            <w:r w:rsidRPr="002B5660">
              <w:rPr>
                <w:lang w:val="en-US"/>
              </w:rPr>
              <w:t>/C :</w:t>
            </w:r>
            <w:r w:rsidRPr="001B4290">
              <w:t>High</w:t>
            </w:r>
            <w:r w:rsidRPr="002B5660">
              <w:rPr>
                <w:lang w:val="en-US"/>
              </w:rPr>
              <w:t>/I :</w:t>
            </w:r>
            <w:r w:rsidRPr="001B4290">
              <w:t>High</w:t>
            </w:r>
            <w:r w:rsidRPr="002B5660">
              <w:rPr>
                <w:lang w:val="en-US"/>
              </w:rPr>
              <w:t>/A :</w:t>
            </w:r>
            <w:r w:rsidRPr="001B4290">
              <w:t>High</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A number of End of Life Operating Systems were found on the internal network (e.g. Microsoft Windows XP). The consultant abused the lack of patching on a subset of these systems to gain a foothold in the internal network.</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104" w:rsidRDefault="00AE7104" w:rsidP="009B44E3">
      <w:pPr>
        <w:spacing w:after="0" w:line="240" w:lineRule="auto"/>
      </w:pPr>
      <w:r>
        <w:separator/>
      </w:r>
    </w:p>
  </w:endnote>
  <w:endnote w:type="continuationSeparator" w:id="0">
    <w:p w:rsidR="00AE7104" w:rsidRDefault="00AE7104"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104" w:rsidRDefault="00AE7104" w:rsidP="009B44E3">
      <w:pPr>
        <w:spacing w:after="0" w:line="240" w:lineRule="auto"/>
      </w:pPr>
      <w:r>
        <w:separator/>
      </w:r>
    </w:p>
  </w:footnote>
  <w:footnote w:type="continuationSeparator" w:id="0">
    <w:p w:rsidR="00AE7104" w:rsidRDefault="00AE7104"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AE7104">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0F6926"/>
    <w:rsid w:val="001204F5"/>
    <w:rsid w:val="00161D44"/>
    <w:rsid w:val="001725AA"/>
    <w:rsid w:val="00175C22"/>
    <w:rsid w:val="00197EF2"/>
    <w:rsid w:val="001A1447"/>
    <w:rsid w:val="001B4290"/>
    <w:rsid w:val="001C6321"/>
    <w:rsid w:val="001D1C9E"/>
    <w:rsid w:val="002342EB"/>
    <w:rsid w:val="00255A74"/>
    <w:rsid w:val="002739F9"/>
    <w:rsid w:val="002965F7"/>
    <w:rsid w:val="002977A5"/>
    <w:rsid w:val="002B5660"/>
    <w:rsid w:val="002B583B"/>
    <w:rsid w:val="002B7897"/>
    <w:rsid w:val="002C7442"/>
    <w:rsid w:val="002F6186"/>
    <w:rsid w:val="00302249"/>
    <w:rsid w:val="00302DD4"/>
    <w:rsid w:val="0032481C"/>
    <w:rsid w:val="00363F3F"/>
    <w:rsid w:val="00381CF6"/>
    <w:rsid w:val="00393893"/>
    <w:rsid w:val="00394E99"/>
    <w:rsid w:val="003971AC"/>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AE7104"/>
    <w:rsid w:val="00B050E9"/>
    <w:rsid w:val="00B22B4D"/>
    <w:rsid w:val="00BB147A"/>
    <w:rsid w:val="00BB19E4"/>
    <w:rsid w:val="00BE47C8"/>
    <w:rsid w:val="00BF5D90"/>
    <w:rsid w:val="00BF77E9"/>
    <w:rsid w:val="00C2402D"/>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40B9"/>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4D45F-E577-41E3-BE5C-BCAE0A2B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15</Pages>
  <Words>2088</Words>
  <Characters>11485</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43</cp:revision>
  <dcterms:created xsi:type="dcterms:W3CDTF">2013-07-01T02:31:00Z</dcterms:created>
  <dcterms:modified xsi:type="dcterms:W3CDTF">2016-04-21T10:10:00Z</dcterms:modified>
</cp:coreProperties>
</file>