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a disaster recovery plan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Disaster Recovery Plan ensures that Small and Medium Sized Enterprises avoid large losses in the event that the IT infrastructure and data are damaged. It will minimize the operational and financial impact of an unplanned business disruption at any level.</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DRP plan that includes regular data backups in multiple locations avoids losing vital business data in a cyber attack or a network outage.</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Disaster Recovery Plan will also help an SME maintain its good reputation with its clients. These days, more and more customers are demanding evidence of an effective Disaster Recovery Plan before they do business with an organization. Organizations without a plan will risk a loss in sales because of their refusal to implement one.</w:t>
        <w:br w:type="textWrapping"/>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Disaster Recovery Plan will ensure minimized downtime.</w:t>
      </w:r>
    </w:p>
    <w:p w:rsidR="00000000" w:rsidDel="00000000" w:rsidP="00000000" w:rsidRDefault="00000000" w:rsidRPr="00000000" w14:paraId="0000000A">
      <w:pPr>
        <w:rPr>
          <w:rFonts w:ascii="Times New Roman" w:cs="Times New Roman" w:eastAsia="Times New Roman" w:hAnsi="Times New Roman"/>
          <w:color w:val="464646"/>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