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Dual-Approach Framework for Lung Cancer Diagnosis from CT Imaging:</w:t>
        <w:br/>
        <w:t>Multimodal 3D Deep Learning and Classical Radiomics on the LIDC-IDRI Cohort</w:t>
      </w:r>
    </w:p>
    <w:p>
      <w:pPr>
        <w:jc w:val="center"/>
      </w:pPr>
      <w:r>
        <w:rPr>
          <w:i/>
          <w:sz w:val="22"/>
        </w:rPr>
        <w:t>Aligned manuscript version integrating the deep-learning and medical-imaging radiomics tracks</w:t>
      </w:r>
    </w:p>
    <w:p>
      <w:pPr>
        <w:pStyle w:val="Heading1"/>
      </w:pPr>
      <w:r>
        <w:t>Abstract</w:t>
      </w:r>
    </w:p>
    <w:p>
      <w:r>
        <w:t>Accurate differentiation of malignant from benign pulmonary nodules on computed tomography (CT) remains a central problem in thoracic oncology because early diagnosis can reduce unnecessary invasive procedures and support timely treatment. This paper is revised to describe the project as a two-approach framework rather than a single deep-learning pipeline. The first approach is an artificial-intelligence-driven multimodal 3D deep-learning model that uses full CT volumes and structured metadata through a late-fusion architecture. The second approach is a medical-imaging and classical radiomics pipeline that begins with LIDC-IDRI XML annotation parsing, extraction of true unblindedReadNodule contours, conversion of selected nodule masks into binary NIfTI (.nii.gz) segmentations, quality control of image-mask alignment, PyRadiomics feature extraction, feature cleaning and selection, and downstream classical machine-learning classification. The deep-learning arm achieved a validation ROC-AUC of 0.897, accuracy of 0.839, and F1 score of 0.848 on a stratified 151-patient LIDC-IDRI subset, although metadata leakage limits the interpretation of these numbers. The radiomics arm was designed to provide an interpretable complementary pipeline based on hand-engineered shape, first-order, texture, wavelet, and filtered features extracted from selected nodule regions of interest. Together, the two approaches support a fair comparison between learned image representations and engineered radiomic biomarkers, and establish a path toward a future hybrid model combining radiomics, CNN-derived features, and clinically valid metadata.</w:t>
      </w:r>
    </w:p>
    <w:p>
      <w:r>
        <w:rPr>
          <w:b/>
        </w:rPr>
        <w:t xml:space="preserve">Keywords: </w:t>
      </w:r>
      <w:r>
        <w:t>lung cancer, LIDC-IDRI, CT imaging, PyRadiomics, radiomics, XML segmentation, NIfTI masks, 3D CNN, multimodal fusion, XGBoost, SVM, Random Forest.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D9EAF7"/>
          </w:tcPr>
          <w:p>
            <w:r/>
            <w:r>
              <w:rPr>
                <w:rFonts w:ascii="Times New Roman" w:hAnsi="Times New Roman"/>
                <w:b/>
                <w:sz w:val="20"/>
              </w:rPr>
              <w:t>Approach</w:t>
            </w:r>
          </w:p>
        </w:tc>
        <w:tc>
          <w:tcPr>
            <w:tcW w:type="dxa" w:w="2880"/>
            <w:vAlign w:val="center"/>
            <w:shd w:fill="D9EAF7"/>
          </w:tcPr>
          <w:p>
            <w:r/>
            <w:r>
              <w:rPr>
                <w:rFonts w:ascii="Times New Roman" w:hAnsi="Times New Roman"/>
                <w:b/>
                <w:sz w:val="20"/>
              </w:rPr>
              <w:t>Main Input</w:t>
            </w:r>
          </w:p>
        </w:tc>
        <w:tc>
          <w:tcPr>
            <w:tcW w:type="dxa" w:w="3888"/>
            <w:vAlign w:val="center"/>
            <w:shd w:fill="D9EAF7"/>
          </w:tcPr>
          <w:p>
            <w:r/>
            <w:r>
              <w:rPr>
                <w:rFonts w:ascii="Times New Roman" w:hAnsi="Times New Roman"/>
                <w:b/>
                <w:sz w:val="20"/>
              </w:rPr>
              <w:t>Core Method</w:t>
            </w:r>
          </w:p>
        </w:tc>
        <w:tc>
          <w:tcPr>
            <w:tcW w:type="dxa" w:w="2448"/>
            <w:vAlign w:val="center"/>
            <w:shd w:fill="D9EAF7"/>
          </w:tcPr>
          <w:p>
            <w:r/>
            <w:r>
              <w:rPr>
                <w:rFonts w:ascii="Times New Roman" w:hAnsi="Times New Roman"/>
                <w:b/>
                <w:sz w:val="20"/>
              </w:rPr>
              <w:t>Main Output</w:t>
            </w:r>
          </w:p>
        </w:tc>
      </w:tr>
      <w:tr>
        <w:tc>
          <w:tcPr>
            <w:tcW w:type="dxa" w:w="2448"/>
            <w:vAlign w:val="center"/>
          </w:tcPr>
          <w:p>
            <w:r/>
            <w:r>
              <w:rPr>
                <w:rFonts w:ascii="Times New Roman" w:hAnsi="Times New Roman"/>
                <w:b w:val="0"/>
                <w:sz w:val="20"/>
              </w:rPr>
              <w:t>Approach 1: AI-Based 3D Deep Learning</w:t>
            </w:r>
          </w:p>
        </w:tc>
        <w:tc>
          <w:tcPr>
            <w:tcW w:type="dxa" w:w="2880"/>
            <w:vAlign w:val="center"/>
          </w:tcPr>
          <w:p>
            <w:r/>
            <w:r>
              <w:rPr>
                <w:rFonts w:ascii="Times New Roman" w:hAnsi="Times New Roman"/>
                <w:b w:val="0"/>
                <w:sz w:val="20"/>
              </w:rPr>
              <w:t>Full CT volume + structured metadata</w:t>
            </w:r>
          </w:p>
        </w:tc>
        <w:tc>
          <w:tcPr>
            <w:tcW w:type="dxa" w:w="3888"/>
            <w:vAlign w:val="center"/>
          </w:tcPr>
          <w:p>
            <w:r/>
            <w:r>
              <w:rPr>
                <w:rFonts w:ascii="Times New Roman" w:hAnsi="Times New Roman"/>
                <w:b w:val="0"/>
                <w:sz w:val="20"/>
              </w:rPr>
              <w:t>3D SE-ResNet image encoder + MLP metadata branch + late fusion</w:t>
            </w:r>
          </w:p>
        </w:tc>
        <w:tc>
          <w:tcPr>
            <w:tcW w:type="dxa" w:w="2448"/>
            <w:vAlign w:val="center"/>
          </w:tcPr>
          <w:p>
            <w:r/>
            <w:r>
              <w:rPr>
                <w:rFonts w:ascii="Times New Roman" w:hAnsi="Times New Roman"/>
                <w:b w:val="0"/>
                <w:sz w:val="20"/>
              </w:rPr>
              <w:t>Patient-level malignancy prediction</w:t>
            </w:r>
          </w:p>
        </w:tc>
      </w:tr>
      <w:tr>
        <w:tc>
          <w:tcPr>
            <w:tcW w:type="dxa" w:w="2448"/>
            <w:vAlign w:val="center"/>
          </w:tcPr>
          <w:p>
            <w:r/>
            <w:r>
              <w:rPr>
                <w:rFonts w:ascii="Times New Roman" w:hAnsi="Times New Roman"/>
                <w:b w:val="0"/>
                <w:sz w:val="20"/>
              </w:rPr>
              <w:t>Approach 2: Medical Imaging + Radiomics</w:t>
            </w:r>
          </w:p>
        </w:tc>
        <w:tc>
          <w:tcPr>
            <w:tcW w:type="dxa" w:w="2880"/>
            <w:vAlign w:val="center"/>
          </w:tcPr>
          <w:p>
            <w:r/>
            <w:r>
              <w:rPr>
                <w:rFonts w:ascii="Times New Roman" w:hAnsi="Times New Roman"/>
                <w:b w:val="0"/>
                <w:sz w:val="20"/>
              </w:rPr>
              <w:t>CT volume + selected binary nodule mask</w:t>
            </w:r>
          </w:p>
        </w:tc>
        <w:tc>
          <w:tcPr>
            <w:tcW w:type="dxa" w:w="3888"/>
            <w:vAlign w:val="center"/>
          </w:tcPr>
          <w:p>
            <w:r/>
            <w:r>
              <w:rPr>
                <w:rFonts w:ascii="Times New Roman" w:hAnsi="Times New Roman"/>
                <w:b w:val="0"/>
                <w:sz w:val="20"/>
              </w:rPr>
              <w:t>XML contour extraction, .nii.gz mask generation, PyRadiomics features, feature selection, ML models</w:t>
            </w:r>
          </w:p>
        </w:tc>
        <w:tc>
          <w:tcPr>
            <w:tcW w:type="dxa" w:w="2448"/>
            <w:vAlign w:val="center"/>
          </w:tcPr>
          <w:p>
            <w:r/>
            <w:r>
              <w:rPr>
                <w:rFonts w:ascii="Times New Roman" w:hAnsi="Times New Roman"/>
                <w:b w:val="0"/>
                <w:sz w:val="20"/>
              </w:rPr>
              <w:t>Nodule-level malignancy/risk prediction</w:t>
            </w:r>
          </w:p>
        </w:tc>
      </w:tr>
    </w:tbl>
    <w:p>
      <w:pPr>
        <w:pStyle w:val="Heading1"/>
      </w:pPr>
      <w:r>
        <w:t>1. Introduction</w:t>
      </w:r>
    </w:p>
    <w:p>
      <w:r>
        <w:t>Lung cancer remains one of the leading causes of cancer-related mortality worldwide, and the clinical value of early detection is substantial. Low-dose CT screening has increased the number of small and indeterminate pulmonary nodules detected in high-risk populations. However, many detected nodules are benign or clinically insignificant, while a smaller fraction represent primary or metastatic malignancy. This creates a diagnostic challenge: clinicians must distinguish suspicious lesions from benign findings while minimizing unnecessary biopsy, surgery, anxiety, and delayed treatment.</w:t>
      </w:r>
    </w:p>
    <w:p>
      <w:r>
        <w:t>Computational lung-nodule analysis has traditionally followed two major directions. The first direction is classical radiomics, where a nodule is segmented and a predefined set of quantitative descriptors is extracted from the region of interest. These descriptors include shape, intensity, texture, wavelet, and filtered-image features, and they can be interpreted as imaging biomarkers. The second direction is deep learning, where a neural network learns discriminative features directly from image voxels. Deep learning can capture complex spatial patterns but usually requires more data and is less interpretable than radiomics.</w:t>
      </w:r>
    </w:p>
    <w:p>
      <w:r>
        <w:t>The present manuscript has been aligned with the accompanying project report by explicitly presenting the work as a dual-approach study. Approach 1 is the AI-based multimodal 3D deep-learning pipeline. Approach 2 is the medical-imaging radiomics pipeline, which starts from the LIDC-IDRI XML annotations and ends with radiomic feature extraction and classical machine-learning modeling. This structure makes the project scientifically clearer because it separates the end-to-end AI contribution from the segmentation-driven medical-imaging contribution.</w:t>
      </w:r>
    </w:p>
    <w:p>
      <w:pPr>
        <w:ind w:left="360" w:hanging="360"/>
      </w:pPr>
      <w:r>
        <w:t xml:space="preserve">1. </w:t>
      </w:r>
      <w:r>
        <w:t>To develop an AI-based 3D deep-learning model for CT-based lung malignancy classification.</w:t>
      </w:r>
    </w:p>
    <w:p>
      <w:pPr>
        <w:ind w:left="360" w:hanging="360"/>
      </w:pPr>
      <w:r>
        <w:t xml:space="preserve">2. </w:t>
      </w:r>
      <w:r>
        <w:t>To develop a medical-imaging radiomics pipeline that extracts selected nodule masks from LIDC-IDRI XML annotations and saves them as NIfTI segmentations suitable for PyRadiomics.</w:t>
      </w:r>
    </w:p>
    <w:p>
      <w:pPr>
        <w:ind w:left="360" w:hanging="360"/>
      </w:pPr>
      <w:r>
        <w:t xml:space="preserve">3. </w:t>
      </w:r>
      <w:r>
        <w:t>To compare the interpretability, limitations, and expected clinical role of deep learned features versus engineered radiomic biomarkers.</w:t>
      </w:r>
    </w:p>
    <w:p>
      <w:pPr>
        <w:ind w:left="360" w:hanging="360"/>
      </w:pPr>
      <w:r>
        <w:t xml:space="preserve">4. </w:t>
      </w:r>
      <w:r>
        <w:t>To establish a foundation for a future hybrid model that combines radiomics features, deep CNN embeddings, and non-leaking clinical metadata.</w:t>
      </w:r>
    </w:p>
    <w:p>
      <w:pPr>
        <w:pStyle w:val="Heading1"/>
      </w:pPr>
      <w:r>
        <w:t>2. Related Work</w:t>
      </w:r>
    </w:p>
    <w:p>
      <w:pPr>
        <w:pStyle w:val="Heading2"/>
      </w:pPr>
      <w:r>
        <w:t>2.1 Classical Radiomics on LIDC-IDRI</w:t>
      </w:r>
    </w:p>
    <w:p>
      <w:r>
        <w:t>The LIDC-IDRI dataset provides thoracic CT scans with multi-radiologist XML annotations of lung nodules. Classical radiomics studies typically convert the annotation contours into binary masks, extract features from the nodule ROI, reduce the high-dimensional feature space, and train classical classifiers such as SVM, Random Forest, Logistic Regression, or XGBoost. This pipeline is attractive for small medical cohorts because it produces tabular features and allows statistical interpretation.</w:t>
      </w:r>
    </w:p>
    <w:p>
      <w:r>
        <w:t>In the revised project design, only the true nodule annotation class, unblindedReadNodule, is used for radiomics mask generation. The nonNodule XML class is excluded because it does not represent a fully contoured nodule region suitable for 3D shape and texture feature extraction. When available, nodules of at least 3 mm and with valid malignancy scores are prioritized because they provide more reliable masks and more stable radiomic features.</w:t>
      </w:r>
    </w:p>
    <w:p>
      <w:pPr>
        <w:pStyle w:val="Heading2"/>
      </w:pPr>
      <w:r>
        <w:t>2.2 End-to-End Deep Learning</w:t>
      </w:r>
    </w:p>
    <w:p>
      <w:r>
        <w:t>Deep-learning approaches learn image features directly from CT images. In lung-nodule analysis, these methods include 2D CNNs on representative slices, 2.5D CNNs on slice stacks, 3D CNNs on nodule cubes, and full-volume models. The current AI arm uses a compact 3D residual CNN with Squeeze-and-Excitation attention to process the CT volume and an MLP to process structured metadata. The two streams are fused late in the network to produce a malignancy logit.</w:t>
      </w:r>
    </w:p>
    <w:p>
      <w:pPr>
        <w:pStyle w:val="Heading2"/>
      </w:pPr>
      <w:r>
        <w:t>2.3 Why Two Approaches Are Needed</w:t>
      </w:r>
    </w:p>
    <w:p>
      <w:r>
        <w:t>The two approaches answer related but distinct questions. The deep-learning arm asks whether a compact neural network can learn malignancy-related patterns directly from CT volumes. The medical-imaging radiomics arm asks whether carefully selected segmented nodules contain quantitative imaging biomarkers that can predict malignancy score or risk class. Radiomics improves interpretability and is better suited to small datasets, while deep learning may scale better when larger training cohorts or pretraining data become available.</w:t>
      </w:r>
    </w:p>
    <w:p>
      <w:pPr>
        <w:pStyle w:val="Heading1"/>
      </w:pPr>
      <w:r>
        <w:t>3. Materials and Methods</w:t>
      </w:r>
    </w:p>
    <w:p>
      <w:pPr>
        <w:pStyle w:val="Heading2"/>
      </w:pPr>
      <w:r>
        <w:t>3.1 Dataset</w:t>
      </w:r>
    </w:p>
    <w:p>
      <w:r>
        <w:t>The project uses the LIDC-IDRI cohort from The Cancer Imaging Archive. The deep-learning arm used 151 matched patients with usable CT DICOM data and non-empty patient-level diagnosis codes. The patient-level diagnosis was binarized into non-malignant/unknown versus malignant categories, resulting in 89 malignant cases and 62 benign or unknown cases. A stratified 80/20 split produced 120 training patients and 31 validation patients.</w:t>
      </w:r>
    </w:p>
    <w:p>
      <w:r>
        <w:t>For the medical-imaging radiomics arm, the dataset is handled at the nodule level. Each selected sample consists of a CT volume and a binary mask corresponding to a single selected unblindedReadNodule annotation. The malignancy score associated with that nodule is retained in the filename and metadata table so that the subsequent feature-extraction and modeling stage can use it as the target label.</w:t>
      </w:r>
    </w:p>
    <w:p>
      <w:pPr>
        <w:pStyle w:val="Heading2"/>
      </w:pPr>
      <w:r>
        <w:t>3.2 Approach 1: AI-Based Multimodal 3D Deep Learning</w:t>
      </w:r>
    </w:p>
    <w:p>
      <w:pPr>
        <w:pStyle w:val="Heading3"/>
      </w:pPr>
      <w:r>
        <w:t>3.2.1 CT Preprocessing</w:t>
      </w:r>
    </w:p>
    <w:p>
      <w:pPr>
        <w:ind w:left="360" w:hanging="360"/>
      </w:pPr>
      <w:r>
        <w:t xml:space="preserve">1. </w:t>
      </w:r>
      <w:r>
        <w:t>Readable DICOM slices are loaded and sorted by axial position, with InstanceNumber used as fallback metadata.</w:t>
      </w:r>
    </w:p>
    <w:p>
      <w:pPr>
        <w:ind w:left="360" w:hanging="360"/>
      </w:pPr>
      <w:r>
        <w:t xml:space="preserve">2. </w:t>
      </w:r>
      <w:r>
        <w:t>Pixel values are converted into Hounsfield units using rescale slope and intercept.</w:t>
      </w:r>
    </w:p>
    <w:p>
      <w:pPr>
        <w:ind w:left="360" w:hanging="360"/>
      </w:pPr>
      <w:r>
        <w:t xml:space="preserve">3. </w:t>
      </w:r>
      <w:r>
        <w:t>HU values are clipped to the lung window [-1000, +400] and normalized to [0, 1].</w:t>
      </w:r>
    </w:p>
    <w:p>
      <w:pPr>
        <w:ind w:left="360" w:hanging="360"/>
      </w:pPr>
      <w:r>
        <w:t xml:space="preserve">4. </w:t>
      </w:r>
      <w:r>
        <w:t>Volumes are resampled to a target spacing of (2.0, 1.0, 1.0) mm.</w:t>
      </w:r>
    </w:p>
    <w:p>
      <w:pPr>
        <w:ind w:left="360" w:hanging="360"/>
      </w:pPr>
      <w:r>
        <w:t xml:space="preserve">5. </w:t>
      </w:r>
      <w:r>
        <w:t>Volumes are center-cropped or zero-padded to a fixed tensor size of 96 x 160 x 160 voxels.</w:t>
      </w:r>
    </w:p>
    <w:p>
      <w:pPr>
        <w:pStyle w:val="Heading3"/>
      </w:pPr>
      <w:r>
        <w:t>3.2.2 Model Architecture</w:t>
      </w:r>
    </w:p>
    <w:p>
      <w:r>
        <w:t>The AI model is a late-fusion multimodal architecture. The image branch is a 3D residual CNN with Squeeze-and-Excitation channel attention, producing a 256-dimensional CT embedding. The metadata branch is a lightweight MLP producing a 64-dimensional tabular embedding. The two embeddings are concatenated and passed through a fully connected classifier to predict malignancy. The total parameter count is approximately 2.15 million, making the model feasible to train from scratch on a single workstation.</w:t>
      </w:r>
    </w:p>
    <w:tbl>
      <w:tblPr>
        <w:tblStyle w:val="TableGrid"/>
        <w:tblW w:type="auto" w:w="0"/>
        <w:jc w:val="center"/>
        <w:tblLook w:firstColumn="1" w:firstRow="1" w:lastColumn="0" w:lastRow="0" w:noHBand="0" w:noVBand="1" w:val="04A0"/>
      </w:tblPr>
      <w:tblGrid>
        <w:gridCol w:w="5040"/>
        <w:gridCol w:w="5040"/>
      </w:tblGrid>
      <w:tr>
        <w:tc>
          <w:tcPr>
            <w:tcW w:type="dxa" w:w="2736"/>
            <w:vAlign w:val="center"/>
            <w:shd w:fill="D9EAF7"/>
          </w:tcPr>
          <w:p>
            <w:r/>
            <w:r>
              <w:rPr>
                <w:rFonts w:ascii="Times New Roman" w:hAnsi="Times New Roman"/>
                <w:b/>
                <w:sz w:val="20"/>
              </w:rPr>
              <w:t>Component</w:t>
            </w:r>
          </w:p>
        </w:tc>
        <w:tc>
          <w:tcPr>
            <w:tcW w:type="dxa" w:w="7344"/>
            <w:vAlign w:val="center"/>
            <w:shd w:fill="D9EAF7"/>
          </w:tcPr>
          <w:p>
            <w:r/>
            <w:r>
              <w:rPr>
                <w:rFonts w:ascii="Times New Roman" w:hAnsi="Times New Roman"/>
                <w:b/>
                <w:sz w:val="20"/>
              </w:rPr>
              <w:t>Description</w:t>
            </w:r>
          </w:p>
        </w:tc>
      </w:tr>
      <w:tr>
        <w:tc>
          <w:tcPr>
            <w:tcW w:type="dxa" w:w="2736"/>
            <w:vAlign w:val="center"/>
          </w:tcPr>
          <w:p>
            <w:r/>
            <w:r>
              <w:rPr>
                <w:rFonts w:ascii="Times New Roman" w:hAnsi="Times New Roman"/>
                <w:b w:val="0"/>
                <w:sz w:val="20"/>
              </w:rPr>
              <w:t>Image encoder</w:t>
            </w:r>
          </w:p>
        </w:tc>
        <w:tc>
          <w:tcPr>
            <w:tcW w:type="dxa" w:w="7344"/>
            <w:vAlign w:val="center"/>
          </w:tcPr>
          <w:p>
            <w:r/>
            <w:r>
              <w:rPr>
                <w:rFonts w:ascii="Times New Roman" w:hAnsi="Times New Roman"/>
                <w:b w:val="0"/>
                <w:sz w:val="20"/>
              </w:rPr>
              <w:t>3D residual CNN with SE attention and global average pooling</w:t>
            </w:r>
          </w:p>
        </w:tc>
      </w:tr>
      <w:tr>
        <w:tc>
          <w:tcPr>
            <w:tcW w:type="dxa" w:w="2736"/>
            <w:vAlign w:val="center"/>
          </w:tcPr>
          <w:p>
            <w:r/>
            <w:r>
              <w:rPr>
                <w:rFonts w:ascii="Times New Roman" w:hAnsi="Times New Roman"/>
                <w:b w:val="0"/>
                <w:sz w:val="20"/>
              </w:rPr>
              <w:t>Tabular encoder</w:t>
            </w:r>
          </w:p>
        </w:tc>
        <w:tc>
          <w:tcPr>
            <w:tcW w:type="dxa" w:w="7344"/>
            <w:vAlign w:val="center"/>
          </w:tcPr>
          <w:p>
            <w:r/>
            <w:r>
              <w:rPr>
                <w:rFonts w:ascii="Times New Roman" w:hAnsi="Times New Roman"/>
                <w:b w:val="0"/>
                <w:sz w:val="20"/>
              </w:rPr>
              <w:t>MLP for structured metadata</w:t>
            </w:r>
          </w:p>
        </w:tc>
      </w:tr>
      <w:tr>
        <w:tc>
          <w:tcPr>
            <w:tcW w:type="dxa" w:w="2736"/>
            <w:vAlign w:val="center"/>
          </w:tcPr>
          <w:p>
            <w:r/>
            <w:r>
              <w:rPr>
                <w:rFonts w:ascii="Times New Roman" w:hAnsi="Times New Roman"/>
                <w:b w:val="0"/>
                <w:sz w:val="20"/>
              </w:rPr>
              <w:t>Fusion head</w:t>
            </w:r>
          </w:p>
        </w:tc>
        <w:tc>
          <w:tcPr>
            <w:tcW w:type="dxa" w:w="7344"/>
            <w:vAlign w:val="center"/>
          </w:tcPr>
          <w:p>
            <w:r/>
            <w:r>
              <w:rPr>
                <w:rFonts w:ascii="Times New Roman" w:hAnsi="Times New Roman"/>
                <w:b w:val="0"/>
                <w:sz w:val="20"/>
              </w:rPr>
              <w:t>Concatenation of image and metadata embeddings followed by dense layers</w:t>
            </w:r>
          </w:p>
        </w:tc>
      </w:tr>
      <w:tr>
        <w:tc>
          <w:tcPr>
            <w:tcW w:type="dxa" w:w="2736"/>
            <w:vAlign w:val="center"/>
          </w:tcPr>
          <w:p>
            <w:r/>
            <w:r>
              <w:rPr>
                <w:rFonts w:ascii="Times New Roman" w:hAnsi="Times New Roman"/>
                <w:b w:val="0"/>
                <w:sz w:val="20"/>
              </w:rPr>
              <w:t>Output</w:t>
            </w:r>
          </w:p>
        </w:tc>
        <w:tc>
          <w:tcPr>
            <w:tcW w:type="dxa" w:w="7344"/>
            <w:vAlign w:val="center"/>
          </w:tcPr>
          <w:p>
            <w:r/>
            <w:r>
              <w:rPr>
                <w:rFonts w:ascii="Times New Roman" w:hAnsi="Times New Roman"/>
                <w:b w:val="0"/>
                <w:sz w:val="20"/>
              </w:rPr>
              <w:t>Single malignancy logit for binary classification</w:t>
            </w:r>
          </w:p>
        </w:tc>
      </w:tr>
    </w:tbl>
    <w:p>
      <w:pPr>
        <w:pStyle w:val="Heading3"/>
      </w:pPr>
      <w:r>
        <w:t>3.2.3 Training and Evaluation</w:t>
      </w:r>
    </w:p>
    <w:p>
      <w:r>
        <w:t>The model was trained for 15 epochs using AdamW and binary cross-entropy with logits. Validation ROC-AUC was used as the primary selection metric because it is threshold-independent and more appropriate than accuracy alone in the presence of class imbalance. Accuracy and F1 score were also reported.</w:t>
      </w:r>
    </w:p>
    <w:p>
      <w:pPr>
        <w:pStyle w:val="Heading2"/>
      </w:pPr>
      <w:r>
        <w:t>3.3 Approach 2: Medical Imaging and Classical Radiomics</w:t>
      </w:r>
    </w:p>
    <w:p>
      <w:r>
        <w:t>The second approach is a medical-imaging pipeline designed to produce interpretable radiomic biomarkers from segmented pulmonary nodules. Unlike the deep-learning approach, which consumes the full CT volume, this arm depends on accurate nodule localization and segmentation. The workflow begins with the XML annotations and ends with a clean feature matrix ready for model training.</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Times New Roman" w:hAnsi="Times New Roman"/>
                <w:b/>
                <w:sz w:val="20"/>
              </w:rPr>
              <w:t>Stage</w:t>
            </w:r>
          </w:p>
        </w:tc>
        <w:tc>
          <w:tcPr>
            <w:tcW w:type="dxa" w:w="4896"/>
            <w:vAlign w:val="center"/>
            <w:shd w:fill="D9EAF7"/>
          </w:tcPr>
          <w:p>
            <w:r/>
            <w:r>
              <w:rPr>
                <w:rFonts w:ascii="Times New Roman" w:hAnsi="Times New Roman"/>
                <w:b/>
                <w:sz w:val="20"/>
              </w:rPr>
              <w:t>Purpose</w:t>
            </w:r>
          </w:p>
        </w:tc>
        <w:tc>
          <w:tcPr>
            <w:tcW w:type="dxa" w:w="3024"/>
            <w:vAlign w:val="center"/>
            <w:shd w:fill="D9EAF7"/>
          </w:tcPr>
          <w:p>
            <w:r/>
            <w:r>
              <w:rPr>
                <w:rFonts w:ascii="Times New Roman" w:hAnsi="Times New Roman"/>
                <w:b/>
                <w:sz w:val="20"/>
              </w:rPr>
              <w:t>Output</w:t>
            </w:r>
          </w:p>
        </w:tc>
      </w:tr>
      <w:tr>
        <w:tc>
          <w:tcPr>
            <w:tcW w:type="dxa" w:w="2160"/>
            <w:vAlign w:val="center"/>
          </w:tcPr>
          <w:p>
            <w:r/>
            <w:r>
              <w:rPr>
                <w:rFonts w:ascii="Times New Roman" w:hAnsi="Times New Roman"/>
                <w:b w:val="0"/>
                <w:sz w:val="20"/>
              </w:rPr>
              <w:t>XML parsing</w:t>
            </w:r>
          </w:p>
        </w:tc>
        <w:tc>
          <w:tcPr>
            <w:tcW w:type="dxa" w:w="4896"/>
            <w:vAlign w:val="center"/>
          </w:tcPr>
          <w:p>
            <w:r/>
            <w:r>
              <w:rPr>
                <w:rFonts w:ascii="Times New Roman" w:hAnsi="Times New Roman"/>
                <w:b w:val="0"/>
                <w:sz w:val="20"/>
              </w:rPr>
              <w:t>Read LIDC-IDRI nodule annotations and malignancy characteristics</w:t>
            </w:r>
          </w:p>
        </w:tc>
        <w:tc>
          <w:tcPr>
            <w:tcW w:type="dxa" w:w="3024"/>
            <w:vAlign w:val="center"/>
          </w:tcPr>
          <w:p>
            <w:r/>
            <w:r>
              <w:rPr>
                <w:rFonts w:ascii="Times New Roman" w:hAnsi="Times New Roman"/>
                <w:b w:val="0"/>
                <w:sz w:val="20"/>
              </w:rPr>
              <w:t>Candidate nodule list</w:t>
            </w:r>
          </w:p>
        </w:tc>
      </w:tr>
      <w:tr>
        <w:tc>
          <w:tcPr>
            <w:tcW w:type="dxa" w:w="2160"/>
            <w:vAlign w:val="center"/>
          </w:tcPr>
          <w:p>
            <w:r/>
            <w:r>
              <w:rPr>
                <w:rFonts w:ascii="Times New Roman" w:hAnsi="Times New Roman"/>
                <w:b w:val="0"/>
                <w:sz w:val="20"/>
              </w:rPr>
              <w:t>Mask generation</w:t>
            </w:r>
          </w:p>
        </w:tc>
        <w:tc>
          <w:tcPr>
            <w:tcW w:type="dxa" w:w="4896"/>
            <w:vAlign w:val="center"/>
          </w:tcPr>
          <w:p>
            <w:r/>
            <w:r>
              <w:rPr>
                <w:rFonts w:ascii="Times New Roman" w:hAnsi="Times New Roman"/>
                <w:b w:val="0"/>
                <w:sz w:val="20"/>
              </w:rPr>
              <w:t>Convert ROI contour points into 3D binary masks</w:t>
            </w:r>
          </w:p>
        </w:tc>
        <w:tc>
          <w:tcPr>
            <w:tcW w:type="dxa" w:w="3024"/>
            <w:vAlign w:val="center"/>
          </w:tcPr>
          <w:p>
            <w:r/>
            <w:r>
              <w:rPr>
                <w:rFonts w:ascii="Times New Roman" w:hAnsi="Times New Roman"/>
                <w:b w:val="0"/>
                <w:sz w:val="20"/>
              </w:rPr>
              <w:t>.nii.gz nodule masks</w:t>
            </w:r>
          </w:p>
        </w:tc>
      </w:tr>
      <w:tr>
        <w:tc>
          <w:tcPr>
            <w:tcW w:type="dxa" w:w="2160"/>
            <w:vAlign w:val="center"/>
          </w:tcPr>
          <w:p>
            <w:r/>
            <w:r>
              <w:rPr>
                <w:rFonts w:ascii="Times New Roman" w:hAnsi="Times New Roman"/>
                <w:b w:val="0"/>
                <w:sz w:val="20"/>
              </w:rPr>
              <w:t>Nodule selection</w:t>
            </w:r>
          </w:p>
        </w:tc>
        <w:tc>
          <w:tcPr>
            <w:tcW w:type="dxa" w:w="4896"/>
            <w:vAlign w:val="center"/>
          </w:tcPr>
          <w:p>
            <w:r/>
            <w:r>
              <w:rPr>
                <w:rFonts w:ascii="Times New Roman" w:hAnsi="Times New Roman"/>
                <w:b w:val="0"/>
                <w:sz w:val="20"/>
              </w:rPr>
              <w:t>Select one valid nodule per patient while preserving malignancy-score distribution</w:t>
            </w:r>
          </w:p>
        </w:tc>
        <w:tc>
          <w:tcPr>
            <w:tcW w:type="dxa" w:w="3024"/>
            <w:vAlign w:val="center"/>
          </w:tcPr>
          <w:p>
            <w:r/>
            <w:r>
              <w:rPr>
                <w:rFonts w:ascii="Times New Roman" w:hAnsi="Times New Roman"/>
                <w:b w:val="0"/>
                <w:sz w:val="20"/>
              </w:rPr>
              <w:t>Selected mask + criteria record</w:t>
            </w:r>
          </w:p>
        </w:tc>
      </w:tr>
      <w:tr>
        <w:tc>
          <w:tcPr>
            <w:tcW w:type="dxa" w:w="2160"/>
            <w:vAlign w:val="center"/>
          </w:tcPr>
          <w:p>
            <w:r/>
            <w:r>
              <w:rPr>
                <w:rFonts w:ascii="Times New Roman" w:hAnsi="Times New Roman"/>
                <w:b w:val="0"/>
                <w:sz w:val="20"/>
              </w:rPr>
              <w:t>Quality control</w:t>
            </w:r>
          </w:p>
        </w:tc>
        <w:tc>
          <w:tcPr>
            <w:tcW w:type="dxa" w:w="4896"/>
            <w:vAlign w:val="center"/>
          </w:tcPr>
          <w:p>
            <w:r/>
            <w:r>
              <w:rPr>
                <w:rFonts w:ascii="Times New Roman" w:hAnsi="Times New Roman"/>
                <w:b w:val="0"/>
                <w:sz w:val="20"/>
              </w:rPr>
              <w:t>Verify alignment, mask volume, and number of slices</w:t>
            </w:r>
          </w:p>
        </w:tc>
        <w:tc>
          <w:tcPr>
            <w:tcW w:type="dxa" w:w="3024"/>
            <w:vAlign w:val="center"/>
          </w:tcPr>
          <w:p>
            <w:r/>
            <w:r>
              <w:rPr>
                <w:rFonts w:ascii="Times New Roman" w:hAnsi="Times New Roman"/>
                <w:b w:val="0"/>
                <w:sz w:val="20"/>
              </w:rPr>
              <w:t>Accepted/rejected masks</w:t>
            </w:r>
          </w:p>
        </w:tc>
      </w:tr>
      <w:tr>
        <w:tc>
          <w:tcPr>
            <w:tcW w:type="dxa" w:w="2160"/>
            <w:vAlign w:val="center"/>
          </w:tcPr>
          <w:p>
            <w:r/>
            <w:r>
              <w:rPr>
                <w:rFonts w:ascii="Times New Roman" w:hAnsi="Times New Roman"/>
                <w:b w:val="0"/>
                <w:sz w:val="20"/>
              </w:rPr>
              <w:t>Feature extraction</w:t>
            </w:r>
          </w:p>
        </w:tc>
        <w:tc>
          <w:tcPr>
            <w:tcW w:type="dxa" w:w="4896"/>
            <w:vAlign w:val="center"/>
          </w:tcPr>
          <w:p>
            <w:r/>
            <w:r>
              <w:rPr>
                <w:rFonts w:ascii="Times New Roman" w:hAnsi="Times New Roman"/>
                <w:b w:val="0"/>
                <w:sz w:val="20"/>
              </w:rPr>
              <w:t>Extract PyRadiomics shape, intensity, texture, and filtered features</w:t>
            </w:r>
          </w:p>
        </w:tc>
        <w:tc>
          <w:tcPr>
            <w:tcW w:type="dxa" w:w="3024"/>
            <w:vAlign w:val="center"/>
          </w:tcPr>
          <w:p>
            <w:r/>
            <w:r>
              <w:rPr>
                <w:rFonts w:ascii="Times New Roman" w:hAnsi="Times New Roman"/>
                <w:b w:val="0"/>
                <w:sz w:val="20"/>
              </w:rPr>
              <w:t>Radiomics feature CSV</w:t>
            </w:r>
          </w:p>
        </w:tc>
      </w:tr>
      <w:tr>
        <w:tc>
          <w:tcPr>
            <w:tcW w:type="dxa" w:w="2160"/>
            <w:vAlign w:val="center"/>
          </w:tcPr>
          <w:p>
            <w:r/>
            <w:r>
              <w:rPr>
                <w:rFonts w:ascii="Times New Roman" w:hAnsi="Times New Roman"/>
                <w:b w:val="0"/>
                <w:sz w:val="20"/>
              </w:rPr>
              <w:t>Feature selection</w:t>
            </w:r>
          </w:p>
        </w:tc>
        <w:tc>
          <w:tcPr>
            <w:tcW w:type="dxa" w:w="4896"/>
            <w:vAlign w:val="center"/>
          </w:tcPr>
          <w:p>
            <w:r/>
            <w:r>
              <w:rPr>
                <w:rFonts w:ascii="Times New Roman" w:hAnsi="Times New Roman"/>
                <w:b w:val="0"/>
                <w:sz w:val="20"/>
              </w:rPr>
              <w:t>Remove unstable/redundant features and select informative biomarkers</w:t>
            </w:r>
          </w:p>
        </w:tc>
        <w:tc>
          <w:tcPr>
            <w:tcW w:type="dxa" w:w="3024"/>
            <w:vAlign w:val="center"/>
          </w:tcPr>
          <w:p>
            <w:r/>
            <w:r>
              <w:rPr>
                <w:rFonts w:ascii="Times New Roman" w:hAnsi="Times New Roman"/>
                <w:b w:val="0"/>
                <w:sz w:val="20"/>
              </w:rPr>
              <w:t>Reduced feature matrix</w:t>
            </w:r>
          </w:p>
        </w:tc>
      </w:tr>
      <w:tr>
        <w:tc>
          <w:tcPr>
            <w:tcW w:type="dxa" w:w="2160"/>
            <w:vAlign w:val="center"/>
          </w:tcPr>
          <w:p>
            <w:r/>
            <w:r>
              <w:rPr>
                <w:rFonts w:ascii="Times New Roman" w:hAnsi="Times New Roman"/>
                <w:b w:val="0"/>
                <w:sz w:val="20"/>
              </w:rPr>
              <w:t>Modeling</w:t>
            </w:r>
          </w:p>
        </w:tc>
        <w:tc>
          <w:tcPr>
            <w:tcW w:type="dxa" w:w="4896"/>
            <w:vAlign w:val="center"/>
          </w:tcPr>
          <w:p>
            <w:r/>
            <w:r>
              <w:rPr>
                <w:rFonts w:ascii="Times New Roman" w:hAnsi="Times New Roman"/>
                <w:b w:val="0"/>
                <w:sz w:val="20"/>
              </w:rPr>
              <w:t>Train classical ML models such as SVM, Random Forest, and XGBoost</w:t>
            </w:r>
          </w:p>
        </w:tc>
        <w:tc>
          <w:tcPr>
            <w:tcW w:type="dxa" w:w="3024"/>
            <w:vAlign w:val="center"/>
          </w:tcPr>
          <w:p>
            <w:r/>
            <w:r>
              <w:rPr>
                <w:rFonts w:ascii="Times New Roman" w:hAnsi="Times New Roman"/>
                <w:b w:val="0"/>
                <w:sz w:val="20"/>
              </w:rPr>
              <w:t>Risk/malignancy prediction</w:t>
            </w:r>
          </w:p>
        </w:tc>
      </w:tr>
    </w:tbl>
    <w:p>
      <w:pPr>
        <w:pStyle w:val="Heading3"/>
      </w:pPr>
      <w:r>
        <w:t>3.3.1 XML Annotation Class Selection</w:t>
      </w:r>
    </w:p>
    <w:p>
      <w:r>
        <w:t>The LIDC-IDRI XML files contain different annotation elements. For the radiomics pipeline, only unblindedReadNodule annotations are used. These annotations provide ROI contour points across CT slices and include nodule characteristics such as malignancy score. The nonNodule annotation type is excluded because it is not a complete segmented nodule region and is not appropriate for extracting 3D shape and texture features.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rFonts w:ascii="Times New Roman" w:hAnsi="Times New Roman"/>
                <w:b/>
                <w:sz w:val="20"/>
              </w:rPr>
              <w:t>XML Annotation Class</w:t>
            </w:r>
          </w:p>
        </w:tc>
        <w:tc>
          <w:tcPr>
            <w:tcW w:type="dxa" w:w="2160"/>
            <w:vAlign w:val="center"/>
            <w:shd w:fill="D9EAF7"/>
          </w:tcPr>
          <w:p>
            <w:r/>
            <w:r>
              <w:rPr>
                <w:rFonts w:ascii="Times New Roman" w:hAnsi="Times New Roman"/>
                <w:b/>
                <w:sz w:val="20"/>
              </w:rPr>
              <w:t>Use in This Project</w:t>
            </w:r>
          </w:p>
        </w:tc>
        <w:tc>
          <w:tcPr>
            <w:tcW w:type="dxa" w:w="5040"/>
            <w:vAlign w:val="center"/>
            <w:shd w:fill="D9EAF7"/>
          </w:tcPr>
          <w:p>
            <w:r/>
            <w:r>
              <w:rPr>
                <w:rFonts w:ascii="Times New Roman" w:hAnsi="Times New Roman"/>
                <w:b/>
                <w:sz w:val="20"/>
              </w:rPr>
              <w:t>Reason</w:t>
            </w:r>
          </w:p>
        </w:tc>
      </w:tr>
      <w:tr>
        <w:tc>
          <w:tcPr>
            <w:tcW w:type="dxa" w:w="2880"/>
            <w:vAlign w:val="center"/>
          </w:tcPr>
          <w:p>
            <w:r/>
            <w:r>
              <w:rPr>
                <w:rFonts w:ascii="Times New Roman" w:hAnsi="Times New Roman"/>
                <w:b w:val="0"/>
                <w:sz w:val="20"/>
              </w:rPr>
              <w:t>unblindedReadNodule</w:t>
            </w:r>
          </w:p>
        </w:tc>
        <w:tc>
          <w:tcPr>
            <w:tcW w:type="dxa" w:w="2160"/>
            <w:vAlign w:val="center"/>
          </w:tcPr>
          <w:p>
            <w:r/>
            <w:r>
              <w:rPr>
                <w:rFonts w:ascii="Times New Roman" w:hAnsi="Times New Roman"/>
                <w:b w:val="0"/>
                <w:sz w:val="20"/>
              </w:rPr>
              <w:t>Included</w:t>
            </w:r>
          </w:p>
        </w:tc>
        <w:tc>
          <w:tcPr>
            <w:tcW w:type="dxa" w:w="5040"/>
            <w:vAlign w:val="center"/>
          </w:tcPr>
          <w:p>
            <w:r/>
            <w:r>
              <w:rPr>
                <w:rFonts w:ascii="Times New Roman" w:hAnsi="Times New Roman"/>
                <w:b w:val="0"/>
                <w:sz w:val="20"/>
              </w:rPr>
              <w:t>Contains true nodule ROI contours and malignancy characteristics</w:t>
            </w:r>
          </w:p>
        </w:tc>
      </w:tr>
      <w:tr>
        <w:tc>
          <w:tcPr>
            <w:tcW w:type="dxa" w:w="2880"/>
            <w:vAlign w:val="center"/>
          </w:tcPr>
          <w:p>
            <w:r/>
            <w:r>
              <w:rPr>
                <w:rFonts w:ascii="Times New Roman" w:hAnsi="Times New Roman"/>
                <w:b w:val="0"/>
                <w:sz w:val="20"/>
              </w:rPr>
              <w:t>nonNodule</w:t>
            </w:r>
          </w:p>
        </w:tc>
        <w:tc>
          <w:tcPr>
            <w:tcW w:type="dxa" w:w="2160"/>
            <w:vAlign w:val="center"/>
          </w:tcPr>
          <w:p>
            <w:r/>
            <w:r>
              <w:rPr>
                <w:rFonts w:ascii="Times New Roman" w:hAnsi="Times New Roman"/>
                <w:b w:val="0"/>
                <w:sz w:val="20"/>
              </w:rPr>
              <w:t>Excluded</w:t>
            </w:r>
          </w:p>
        </w:tc>
        <w:tc>
          <w:tcPr>
            <w:tcW w:type="dxa" w:w="5040"/>
            <w:vAlign w:val="center"/>
          </w:tcPr>
          <w:p>
            <w:r/>
            <w:r>
              <w:rPr>
                <w:rFonts w:ascii="Times New Roman" w:hAnsi="Times New Roman"/>
                <w:b w:val="0"/>
                <w:sz w:val="20"/>
              </w:rPr>
              <w:t>Does not provide a complete nodule segmentation suitable for radiomics</w:t>
            </w:r>
          </w:p>
        </w:tc>
      </w:tr>
    </w:tbl>
    <w:p>
      <w:pPr>
        <w:pStyle w:val="Heading3"/>
      </w:pPr>
      <w:r>
        <w:t>3.3.2 Mask Extraction and NIfTI Export</w:t>
      </w:r>
    </w:p>
    <w:p>
      <w:r>
        <w:t>For each patient, the XML file is parsed and ROI edge-map coordinates are matched to DICOM slices using SOPInstanceUID. The polygon points are filled slice by slice to create a 3D binary mask in the same Z-Y-X order as the CT series. Each selected mask is saved as a NIfTI file (.nii.gz), with spacing, origin, direction, and size copied from the corresponding CT volume so that the mask is directly compatible with PyRadiomics.</w:t>
      </w:r>
    </w:p>
    <w:p>
      <w:pPr>
        <w:pStyle w:val="ListBullet"/>
      </w:pPr>
      <w:r>
        <w:t>CT output: ct.nii.gz</w:t>
      </w:r>
    </w:p>
    <w:p>
      <w:pPr>
        <w:pStyle w:val="ListBullet"/>
      </w:pPr>
      <w:r>
        <w:t>Mask output: mask__nodule_[ID]__reader_[index]__mal_[score]__class_[label]__vox_[count]__slices_[count].nii.gz</w:t>
      </w:r>
    </w:p>
    <w:p>
      <w:pPr>
        <w:pStyle w:val="ListBullet"/>
      </w:pPr>
      <w:r>
        <w:t>Quality-control output: overlay PNG images showing the selected mask on CT slices</w:t>
      </w:r>
    </w:p>
    <w:p>
      <w:pPr>
        <w:pStyle w:val="ListBullet"/>
      </w:pPr>
      <w:r>
        <w:t>Documentation output: criteria text file and selected_nodules_metadata.csv</w:t>
      </w:r>
    </w:p>
    <w:p>
      <w:pPr>
        <w:pStyle w:val="Heading3"/>
      </w:pPr>
      <w:r>
        <w:t>3.3.3 Selected Nodule Criteria</w:t>
      </w:r>
    </w:p>
    <w:p>
      <w:r>
        <w:t>Because some patients contain multiple nodules, the radiomics arm selects one valid nodule per patient for the initial modeling version. This does not mean that the highest-malignancy nodule is always chosen. Instead, the selection logic aims to maintain a distributed set of malignancy scores while still prioritizing mask quality. This is academically appropriate when the target task is nodule-level malignancy score or risk prediction rather than whole-patient cancer staging.</w:t>
      </w:r>
    </w:p>
    <w:p>
      <w:pPr>
        <w:pStyle w:val="ListBullet"/>
      </w:pPr>
      <w:r>
        <w:t>Use only unblindedReadNodule annotations.</w:t>
      </w:r>
    </w:p>
    <w:p>
      <w:pPr>
        <w:pStyle w:val="ListBullet"/>
      </w:pPr>
      <w:r>
        <w:t>Require a valid malignancy score from 1 to 5.</w:t>
      </w:r>
    </w:p>
    <w:p>
      <w:pPr>
        <w:pStyle w:val="ListBullet"/>
      </w:pPr>
      <w:r>
        <w:t>Reject empty masks and masks below the minimum voxel-count threshold.</w:t>
      </w:r>
    </w:p>
    <w:p>
      <w:pPr>
        <w:pStyle w:val="ListBullet"/>
      </w:pPr>
      <w:r>
        <w:t>Prefer masks appearing on at least two CT slices for stable 3D radiomics when possible.</w:t>
      </w:r>
    </w:p>
    <w:p>
      <w:pPr>
        <w:pStyle w:val="ListBullet"/>
      </w:pPr>
      <w:r>
        <w:t>Prefer nodules of at least 3 mm if size information is available.</w:t>
      </w:r>
    </w:p>
    <w:p>
      <w:pPr>
        <w:pStyle w:val="ListBullet"/>
      </w:pPr>
      <w:r>
        <w:t>Balance selected malignancy scores across the dataset rather than always selecting the most malignant nodule.</w:t>
      </w:r>
    </w:p>
    <w:p>
      <w:pPr>
        <w:pStyle w:val="ListBullet"/>
      </w:pPr>
      <w:r>
        <w:t>If several nodules satisfy the same target malignancy score, choose the largest and highest-quality mask.</w:t>
      </w:r>
    </w:p>
    <w:p>
      <w:pPr>
        <w:pStyle w:val="ListBullet"/>
      </w:pPr>
      <w:r>
        <w:t>Record the selected nodule ID, reader index, malignancy score, class label, voxel count, number of slices, and selection reason in the exported name and metadata CSV.</w:t>
      </w:r>
    </w:p>
    <w:p>
      <w:r>
        <w:t>Suggested malignancy grouping for downstream models: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rFonts w:ascii="Times New Roman" w:hAnsi="Times New Roman"/>
                <w:b/>
                <w:sz w:val="20"/>
              </w:rPr>
              <w:t>Malignancy Score</w:t>
            </w:r>
          </w:p>
        </w:tc>
        <w:tc>
          <w:tcPr>
            <w:tcW w:type="dxa" w:w="3168"/>
            <w:vAlign w:val="center"/>
            <w:shd w:fill="D9EAF7"/>
          </w:tcPr>
          <w:p>
            <w:r/>
            <w:r>
              <w:rPr>
                <w:rFonts w:ascii="Times New Roman" w:hAnsi="Times New Roman"/>
                <w:b/>
                <w:sz w:val="20"/>
              </w:rPr>
              <w:t>Risk Label</w:t>
            </w:r>
          </w:p>
        </w:tc>
        <w:tc>
          <w:tcPr>
            <w:tcW w:type="dxa" w:w="4320"/>
            <w:vAlign w:val="center"/>
            <w:shd w:fill="D9EAF7"/>
          </w:tcPr>
          <w:p>
            <w:r/>
            <w:r>
              <w:rPr>
                <w:rFonts w:ascii="Times New Roman" w:hAnsi="Times New Roman"/>
                <w:b/>
                <w:sz w:val="20"/>
              </w:rPr>
              <w:t>Possible Modeling Use</w:t>
            </w:r>
          </w:p>
        </w:tc>
      </w:tr>
      <w:tr>
        <w:tc>
          <w:tcPr>
            <w:tcW w:type="dxa" w:w="2592"/>
            <w:vAlign w:val="center"/>
          </w:tcPr>
          <w:p>
            <w:r/>
            <w:r>
              <w:rPr>
                <w:rFonts w:ascii="Times New Roman" w:hAnsi="Times New Roman"/>
                <w:b w:val="0"/>
                <w:sz w:val="20"/>
              </w:rPr>
              <w:t>1-2</w:t>
            </w:r>
          </w:p>
        </w:tc>
        <w:tc>
          <w:tcPr>
            <w:tcW w:type="dxa" w:w="3168"/>
            <w:vAlign w:val="center"/>
          </w:tcPr>
          <w:p>
            <w:r/>
            <w:r>
              <w:rPr>
                <w:rFonts w:ascii="Times New Roman" w:hAnsi="Times New Roman"/>
                <w:b w:val="0"/>
                <w:sz w:val="20"/>
              </w:rPr>
              <w:t>low_risk / benign-like</w:t>
            </w:r>
          </w:p>
        </w:tc>
        <w:tc>
          <w:tcPr>
            <w:tcW w:type="dxa" w:w="4320"/>
            <w:vAlign w:val="center"/>
          </w:tcPr>
          <w:p>
            <w:r/>
            <w:r>
              <w:rPr>
                <w:rFonts w:ascii="Times New Roman" w:hAnsi="Times New Roman"/>
                <w:b w:val="0"/>
                <w:sz w:val="20"/>
              </w:rPr>
              <w:t>Binary or three-class classification</w:t>
            </w:r>
          </w:p>
        </w:tc>
      </w:tr>
      <w:tr>
        <w:tc>
          <w:tcPr>
            <w:tcW w:type="dxa" w:w="2592"/>
            <w:vAlign w:val="center"/>
          </w:tcPr>
          <w:p>
            <w:r/>
            <w:r>
              <w:rPr>
                <w:rFonts w:ascii="Times New Roman" w:hAnsi="Times New Roman"/>
                <w:b w:val="0"/>
                <w:sz w:val="20"/>
              </w:rPr>
              <w:t>3</w:t>
            </w:r>
          </w:p>
        </w:tc>
        <w:tc>
          <w:tcPr>
            <w:tcW w:type="dxa" w:w="3168"/>
            <w:vAlign w:val="center"/>
          </w:tcPr>
          <w:p>
            <w:r/>
            <w:r>
              <w:rPr>
                <w:rFonts w:ascii="Times New Roman" w:hAnsi="Times New Roman"/>
                <w:b w:val="0"/>
                <w:sz w:val="20"/>
              </w:rPr>
              <w:t>intermediate / uncertain</w:t>
            </w:r>
          </w:p>
        </w:tc>
        <w:tc>
          <w:tcPr>
            <w:tcW w:type="dxa" w:w="4320"/>
            <w:vAlign w:val="center"/>
          </w:tcPr>
          <w:p>
            <w:r/>
            <w:r>
              <w:rPr>
                <w:rFonts w:ascii="Times New Roman" w:hAnsi="Times New Roman"/>
                <w:b w:val="0"/>
                <w:sz w:val="20"/>
              </w:rPr>
              <w:t>Three-class, ordinal, or optional exclusion in binary model</w:t>
            </w:r>
          </w:p>
        </w:tc>
      </w:tr>
      <w:tr>
        <w:tc>
          <w:tcPr>
            <w:tcW w:type="dxa" w:w="2592"/>
            <w:vAlign w:val="center"/>
          </w:tcPr>
          <w:p>
            <w:r/>
            <w:r>
              <w:rPr>
                <w:rFonts w:ascii="Times New Roman" w:hAnsi="Times New Roman"/>
                <w:b w:val="0"/>
                <w:sz w:val="20"/>
              </w:rPr>
              <w:t>4-5</w:t>
            </w:r>
          </w:p>
        </w:tc>
        <w:tc>
          <w:tcPr>
            <w:tcW w:type="dxa" w:w="3168"/>
            <w:vAlign w:val="center"/>
          </w:tcPr>
          <w:p>
            <w:r/>
            <w:r>
              <w:rPr>
                <w:rFonts w:ascii="Times New Roman" w:hAnsi="Times New Roman"/>
                <w:b w:val="0"/>
                <w:sz w:val="20"/>
              </w:rPr>
              <w:t>high_risk / malignant-like</w:t>
            </w:r>
          </w:p>
        </w:tc>
        <w:tc>
          <w:tcPr>
            <w:tcW w:type="dxa" w:w="4320"/>
            <w:vAlign w:val="center"/>
          </w:tcPr>
          <w:p>
            <w:r/>
            <w:r>
              <w:rPr>
                <w:rFonts w:ascii="Times New Roman" w:hAnsi="Times New Roman"/>
                <w:b w:val="0"/>
                <w:sz w:val="20"/>
              </w:rPr>
              <w:t>Binary or three-class classification</w:t>
            </w:r>
          </w:p>
        </w:tc>
      </w:tr>
    </w:tbl>
    <w:p>
      <w:pPr>
        <w:pStyle w:val="Heading3"/>
      </w:pPr>
      <w:r>
        <w:t>3.3.4 PyRadiomics Feature Extraction</w:t>
      </w:r>
    </w:p>
    <w:p>
      <w:r>
        <w:t>After CT and mask NIfTI files are generated, PyRadiomics is used to extract quantitative features from the selected nodule region. Each row in the resulting table corresponds to one selected nodule. The extracted features include morphological, intensity, and texture descriptors from the original and filtered images.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rFonts w:ascii="Times New Roman" w:hAnsi="Times New Roman"/>
                <w:b/>
                <w:sz w:val="20"/>
              </w:rPr>
              <w:t>Feature Family</w:t>
            </w:r>
          </w:p>
        </w:tc>
        <w:tc>
          <w:tcPr>
            <w:tcW w:type="dxa" w:w="3888"/>
            <w:vAlign w:val="center"/>
            <w:shd w:fill="D9EAF7"/>
          </w:tcPr>
          <w:p>
            <w:r/>
            <w:r>
              <w:rPr>
                <w:rFonts w:ascii="Times New Roman" w:hAnsi="Times New Roman"/>
                <w:b/>
                <w:sz w:val="20"/>
              </w:rPr>
              <w:t>Examples</w:t>
            </w:r>
          </w:p>
        </w:tc>
        <w:tc>
          <w:tcPr>
            <w:tcW w:type="dxa" w:w="3888"/>
            <w:vAlign w:val="center"/>
            <w:shd w:fill="D9EAF7"/>
          </w:tcPr>
          <w:p>
            <w:r/>
            <w:r>
              <w:rPr>
                <w:rFonts w:ascii="Times New Roman" w:hAnsi="Times New Roman"/>
                <w:b/>
                <w:sz w:val="20"/>
              </w:rPr>
              <w:t>Clinical Meaning</w:t>
            </w:r>
          </w:p>
        </w:tc>
      </w:tr>
      <w:tr>
        <w:tc>
          <w:tcPr>
            <w:tcW w:type="dxa" w:w="2304"/>
            <w:vAlign w:val="center"/>
          </w:tcPr>
          <w:p>
            <w:r/>
            <w:r>
              <w:rPr>
                <w:rFonts w:ascii="Times New Roman" w:hAnsi="Times New Roman"/>
                <w:b w:val="0"/>
                <w:sz w:val="20"/>
              </w:rPr>
              <w:t>Shape</w:t>
            </w:r>
          </w:p>
        </w:tc>
        <w:tc>
          <w:tcPr>
            <w:tcW w:type="dxa" w:w="3888"/>
            <w:vAlign w:val="center"/>
          </w:tcPr>
          <w:p>
            <w:r/>
            <w:r>
              <w:rPr>
                <w:rFonts w:ascii="Times New Roman" w:hAnsi="Times New Roman"/>
                <w:b w:val="0"/>
                <w:sz w:val="20"/>
              </w:rPr>
              <w:t>Volume, surface area, sphericity, maximum diameter</w:t>
            </w:r>
          </w:p>
        </w:tc>
        <w:tc>
          <w:tcPr>
            <w:tcW w:type="dxa" w:w="3888"/>
            <w:vAlign w:val="center"/>
          </w:tcPr>
          <w:p>
            <w:r/>
            <w:r>
              <w:rPr>
                <w:rFonts w:ascii="Times New Roman" w:hAnsi="Times New Roman"/>
                <w:b w:val="0"/>
                <w:sz w:val="20"/>
              </w:rPr>
              <w:t>Tumor size and border irregularity</w:t>
            </w:r>
          </w:p>
        </w:tc>
      </w:tr>
      <w:tr>
        <w:tc>
          <w:tcPr>
            <w:tcW w:type="dxa" w:w="2304"/>
            <w:vAlign w:val="center"/>
          </w:tcPr>
          <w:p>
            <w:r/>
            <w:r>
              <w:rPr>
                <w:rFonts w:ascii="Times New Roman" w:hAnsi="Times New Roman"/>
                <w:b w:val="0"/>
                <w:sz w:val="20"/>
              </w:rPr>
              <w:t>First-order</w:t>
            </w:r>
          </w:p>
        </w:tc>
        <w:tc>
          <w:tcPr>
            <w:tcW w:type="dxa" w:w="3888"/>
            <w:vAlign w:val="center"/>
          </w:tcPr>
          <w:p>
            <w:r/>
            <w:r>
              <w:rPr>
                <w:rFonts w:ascii="Times New Roman" w:hAnsi="Times New Roman"/>
                <w:b w:val="0"/>
                <w:sz w:val="20"/>
              </w:rPr>
              <w:t>Mean, variance, skewness, kurtosis, entropy</w:t>
            </w:r>
          </w:p>
        </w:tc>
        <w:tc>
          <w:tcPr>
            <w:tcW w:type="dxa" w:w="3888"/>
            <w:vAlign w:val="center"/>
          </w:tcPr>
          <w:p>
            <w:r/>
            <w:r>
              <w:rPr>
                <w:rFonts w:ascii="Times New Roman" w:hAnsi="Times New Roman"/>
                <w:b w:val="0"/>
                <w:sz w:val="20"/>
              </w:rPr>
              <w:t>Intensity distribution and heterogeneity</w:t>
            </w:r>
          </w:p>
        </w:tc>
      </w:tr>
      <w:tr>
        <w:tc>
          <w:tcPr>
            <w:tcW w:type="dxa" w:w="2304"/>
            <w:vAlign w:val="center"/>
          </w:tcPr>
          <w:p>
            <w:r/>
            <w:r>
              <w:rPr>
                <w:rFonts w:ascii="Times New Roman" w:hAnsi="Times New Roman"/>
                <w:b w:val="0"/>
                <w:sz w:val="20"/>
              </w:rPr>
              <w:t>GLCM</w:t>
            </w:r>
          </w:p>
        </w:tc>
        <w:tc>
          <w:tcPr>
            <w:tcW w:type="dxa" w:w="3888"/>
            <w:vAlign w:val="center"/>
          </w:tcPr>
          <w:p>
            <w:r/>
            <w:r>
              <w:rPr>
                <w:rFonts w:ascii="Times New Roman" w:hAnsi="Times New Roman"/>
                <w:b w:val="0"/>
                <w:sz w:val="20"/>
              </w:rPr>
              <w:t>Contrast, correlation, homogeneity, energy</w:t>
            </w:r>
          </w:p>
        </w:tc>
        <w:tc>
          <w:tcPr>
            <w:tcW w:type="dxa" w:w="3888"/>
            <w:vAlign w:val="center"/>
          </w:tcPr>
          <w:p>
            <w:r/>
            <w:r>
              <w:rPr>
                <w:rFonts w:ascii="Times New Roman" w:hAnsi="Times New Roman"/>
                <w:b w:val="0"/>
                <w:sz w:val="20"/>
              </w:rPr>
              <w:t>Pairwise gray-level texture relationships</w:t>
            </w:r>
          </w:p>
        </w:tc>
      </w:tr>
      <w:tr>
        <w:tc>
          <w:tcPr>
            <w:tcW w:type="dxa" w:w="2304"/>
            <w:vAlign w:val="center"/>
          </w:tcPr>
          <w:p>
            <w:r/>
            <w:r>
              <w:rPr>
                <w:rFonts w:ascii="Times New Roman" w:hAnsi="Times New Roman"/>
                <w:b w:val="0"/>
                <w:sz w:val="20"/>
              </w:rPr>
              <w:t>GLRLM / GLSZM</w:t>
            </w:r>
          </w:p>
        </w:tc>
        <w:tc>
          <w:tcPr>
            <w:tcW w:type="dxa" w:w="3888"/>
            <w:vAlign w:val="center"/>
          </w:tcPr>
          <w:p>
            <w:r/>
            <w:r>
              <w:rPr>
                <w:rFonts w:ascii="Times New Roman" w:hAnsi="Times New Roman"/>
                <w:b w:val="0"/>
                <w:sz w:val="20"/>
              </w:rPr>
              <w:t>Run length, zone size, non-uniformity, entropy</w:t>
            </w:r>
          </w:p>
        </w:tc>
        <w:tc>
          <w:tcPr>
            <w:tcW w:type="dxa" w:w="3888"/>
            <w:vAlign w:val="center"/>
          </w:tcPr>
          <w:p>
            <w:r/>
            <w:r>
              <w:rPr>
                <w:rFonts w:ascii="Times New Roman" w:hAnsi="Times New Roman"/>
                <w:b w:val="0"/>
                <w:sz w:val="20"/>
              </w:rPr>
              <w:t>Regional texture patterns and heterogeneity</w:t>
            </w:r>
          </w:p>
        </w:tc>
      </w:tr>
      <w:tr>
        <w:tc>
          <w:tcPr>
            <w:tcW w:type="dxa" w:w="2304"/>
            <w:vAlign w:val="center"/>
          </w:tcPr>
          <w:p>
            <w:r/>
            <w:r>
              <w:rPr>
                <w:rFonts w:ascii="Times New Roman" w:hAnsi="Times New Roman"/>
                <w:b w:val="0"/>
                <w:sz w:val="20"/>
              </w:rPr>
              <w:t>NGTDM</w:t>
            </w:r>
          </w:p>
        </w:tc>
        <w:tc>
          <w:tcPr>
            <w:tcW w:type="dxa" w:w="3888"/>
            <w:vAlign w:val="center"/>
          </w:tcPr>
          <w:p>
            <w:r/>
            <w:r>
              <w:rPr>
                <w:rFonts w:ascii="Times New Roman" w:hAnsi="Times New Roman"/>
                <w:b w:val="0"/>
                <w:sz w:val="20"/>
              </w:rPr>
              <w:t>Coarseness, busyness, complexity, strength</w:t>
            </w:r>
          </w:p>
        </w:tc>
        <w:tc>
          <w:tcPr>
            <w:tcW w:type="dxa" w:w="3888"/>
            <w:vAlign w:val="center"/>
          </w:tcPr>
          <w:p>
            <w:r/>
            <w:r>
              <w:rPr>
                <w:rFonts w:ascii="Times New Roman" w:hAnsi="Times New Roman"/>
                <w:b w:val="0"/>
                <w:sz w:val="20"/>
              </w:rPr>
              <w:t>Local neighborhood gray-tone variation</w:t>
            </w:r>
          </w:p>
        </w:tc>
      </w:tr>
      <w:tr>
        <w:tc>
          <w:tcPr>
            <w:tcW w:type="dxa" w:w="2304"/>
            <w:vAlign w:val="center"/>
          </w:tcPr>
          <w:p>
            <w:r/>
            <w:r>
              <w:rPr>
                <w:rFonts w:ascii="Times New Roman" w:hAnsi="Times New Roman"/>
                <w:b w:val="0"/>
                <w:sz w:val="20"/>
              </w:rPr>
              <w:t>Wavelet / LoG</w:t>
            </w:r>
          </w:p>
        </w:tc>
        <w:tc>
          <w:tcPr>
            <w:tcW w:type="dxa" w:w="3888"/>
            <w:vAlign w:val="center"/>
          </w:tcPr>
          <w:p>
            <w:r/>
            <w:r>
              <w:rPr>
                <w:rFonts w:ascii="Times New Roman" w:hAnsi="Times New Roman"/>
                <w:b w:val="0"/>
                <w:sz w:val="20"/>
              </w:rPr>
              <w:t>Filtered texture and intensity features</w:t>
            </w:r>
          </w:p>
        </w:tc>
        <w:tc>
          <w:tcPr>
            <w:tcW w:type="dxa" w:w="3888"/>
            <w:vAlign w:val="center"/>
          </w:tcPr>
          <w:p>
            <w:r/>
            <w:r>
              <w:rPr>
                <w:rFonts w:ascii="Times New Roman" w:hAnsi="Times New Roman"/>
                <w:b w:val="0"/>
                <w:sz w:val="20"/>
              </w:rPr>
              <w:t>Multi-scale lesion characterization</w:t>
            </w:r>
          </w:p>
        </w:tc>
      </w:tr>
    </w:tbl>
    <w:p>
      <w:pPr>
        <w:pStyle w:val="Heading3"/>
      </w:pPr>
      <w:r>
        <w:t>3.3.5 Feature Cleaning, Selection, and Modeling</w:t>
      </w:r>
    </w:p>
    <w:p>
      <w:r>
        <w:t>Radiomics can generate hundreds to thousands of features, many of which are redundant or unstable. Before model training, the feature table should be cleaned by removing missing values, constant features, and highly correlated features. Feature scaling is applied before algorithms that are sensitive to feature magnitude, especially SVM and Logistic Regression.</w:t>
      </w:r>
    </w:p>
    <w:p>
      <w:pPr>
        <w:ind w:left="360" w:hanging="360"/>
      </w:pPr>
      <w:r>
        <w:t xml:space="preserve">1. </w:t>
      </w:r>
      <w:r>
        <w:t>Remove features with excessive missing values.</w:t>
      </w:r>
    </w:p>
    <w:p>
      <w:pPr>
        <w:ind w:left="360" w:hanging="360"/>
      </w:pPr>
      <w:r>
        <w:t xml:space="preserve">2. </w:t>
      </w:r>
      <w:r>
        <w:t>Remove constant or near-constant features.</w:t>
      </w:r>
    </w:p>
    <w:p>
      <w:pPr>
        <w:ind w:left="360" w:hanging="360"/>
      </w:pPr>
      <w:r>
        <w:t xml:space="preserve">3. </w:t>
      </w:r>
      <w:r>
        <w:t>Remove highly correlated features, for example one feature from each pair with correlation above 0.90.</w:t>
      </w:r>
    </w:p>
    <w:p>
      <w:pPr>
        <w:ind w:left="360" w:hanging="360"/>
      </w:pPr>
      <w:r>
        <w:t xml:space="preserve">4. </w:t>
      </w:r>
      <w:r>
        <w:t>Apply standardization using training data only.</w:t>
      </w:r>
    </w:p>
    <w:p>
      <w:pPr>
        <w:ind w:left="360" w:hanging="360"/>
      </w:pPr>
      <w:r>
        <w:t xml:space="preserve">5. </w:t>
      </w:r>
      <w:r>
        <w:t>Apply feature selection using LASSO, mutual information, SelectKBest, Recursive Feature Elimination, or model-based importance.</w:t>
      </w:r>
    </w:p>
    <w:p>
      <w:pPr>
        <w:ind w:left="360" w:hanging="360"/>
      </w:pPr>
      <w:r>
        <w:t xml:space="preserve">6. </w:t>
      </w:r>
      <w:r>
        <w:t>Train classical models including Logistic Regression, SVM, Random Forest, and XGBoost.</w:t>
      </w:r>
    </w:p>
    <w:p>
      <w:pPr>
        <w:ind w:left="360" w:hanging="360"/>
      </w:pPr>
      <w:r>
        <w:t xml:space="preserve">7. </w:t>
      </w:r>
      <w:r>
        <w:t>Evaluate using ROC-AUC, balanced accuracy, sensitivity, specificity, F1 score, and confusion matrix.</w:t>
      </w:r>
    </w:p>
    <w:p>
      <w:pPr>
        <w:pStyle w:val="Heading1"/>
      </w:pPr>
      <w:r>
        <w:t>4. Results</w:t>
      </w:r>
    </w:p>
    <w:p>
      <w:pPr>
        <w:pStyle w:val="Heading2"/>
      </w:pPr>
      <w:r>
        <w:t>4.1 Deep-Learning Arm Results</w:t>
      </w:r>
    </w:p>
    <w:p>
      <w:r>
        <w:t>The multimodal 3D deep-learning arm reached a peak validation ROC-AUC of 0.897. At the best reported validation point, the model achieved an accuracy of 0.839 and an F1 score of 0.848 for the malignant class. These values suggest that the architecture can learn discriminative patterns from the available data. However, because the tabular branch included diagnosis-related metadata, the result must be interpreted as an upper-bound multimodal experiment rather than a pure imaging-only performance estimate.</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rFonts w:ascii="Times New Roman" w:hAnsi="Times New Roman"/>
                <w:b/>
                <w:sz w:val="20"/>
              </w:rPr>
              <w:t>Metric</w:t>
            </w:r>
          </w:p>
        </w:tc>
        <w:tc>
          <w:tcPr>
            <w:tcW w:type="dxa" w:w="4320"/>
            <w:vAlign w:val="center"/>
            <w:shd w:fill="D9EAF7"/>
          </w:tcPr>
          <w:p>
            <w:r/>
            <w:r>
              <w:rPr>
                <w:rFonts w:ascii="Times New Roman" w:hAnsi="Times New Roman"/>
                <w:b/>
                <w:sz w:val="20"/>
              </w:rPr>
              <w:t>Validation Result</w:t>
            </w:r>
          </w:p>
        </w:tc>
      </w:tr>
      <w:tr>
        <w:tc>
          <w:tcPr>
            <w:tcW w:type="dxa" w:w="4320"/>
            <w:vAlign w:val="center"/>
          </w:tcPr>
          <w:p>
            <w:r/>
            <w:r>
              <w:rPr>
                <w:rFonts w:ascii="Times New Roman" w:hAnsi="Times New Roman"/>
                <w:b w:val="0"/>
                <w:sz w:val="20"/>
              </w:rPr>
              <w:t>ROC-AUC</w:t>
            </w:r>
          </w:p>
        </w:tc>
        <w:tc>
          <w:tcPr>
            <w:tcW w:type="dxa" w:w="4320"/>
            <w:vAlign w:val="center"/>
          </w:tcPr>
          <w:p>
            <w:r/>
            <w:r>
              <w:rPr>
                <w:rFonts w:ascii="Times New Roman" w:hAnsi="Times New Roman"/>
                <w:b w:val="0"/>
                <w:sz w:val="20"/>
              </w:rPr>
              <w:t>0.897</w:t>
            </w:r>
          </w:p>
        </w:tc>
      </w:tr>
      <w:tr>
        <w:tc>
          <w:tcPr>
            <w:tcW w:type="dxa" w:w="4320"/>
            <w:vAlign w:val="center"/>
          </w:tcPr>
          <w:p>
            <w:r/>
            <w:r>
              <w:rPr>
                <w:rFonts w:ascii="Times New Roman" w:hAnsi="Times New Roman"/>
                <w:b w:val="0"/>
                <w:sz w:val="20"/>
              </w:rPr>
              <w:t>Accuracy</w:t>
            </w:r>
          </w:p>
        </w:tc>
        <w:tc>
          <w:tcPr>
            <w:tcW w:type="dxa" w:w="4320"/>
            <w:vAlign w:val="center"/>
          </w:tcPr>
          <w:p>
            <w:r/>
            <w:r>
              <w:rPr>
                <w:rFonts w:ascii="Times New Roman" w:hAnsi="Times New Roman"/>
                <w:b w:val="0"/>
                <w:sz w:val="20"/>
              </w:rPr>
              <w:t>0.839</w:t>
            </w:r>
          </w:p>
        </w:tc>
      </w:tr>
      <w:tr>
        <w:tc>
          <w:tcPr>
            <w:tcW w:type="dxa" w:w="4320"/>
            <w:vAlign w:val="center"/>
          </w:tcPr>
          <w:p>
            <w:r/>
            <w:r>
              <w:rPr>
                <w:rFonts w:ascii="Times New Roman" w:hAnsi="Times New Roman"/>
                <w:b w:val="0"/>
                <w:sz w:val="20"/>
              </w:rPr>
              <w:t>F1 score, malignant class</w:t>
            </w:r>
          </w:p>
        </w:tc>
        <w:tc>
          <w:tcPr>
            <w:tcW w:type="dxa" w:w="4320"/>
            <w:vAlign w:val="center"/>
          </w:tcPr>
          <w:p>
            <w:r/>
            <w:r>
              <w:rPr>
                <w:rFonts w:ascii="Times New Roman" w:hAnsi="Times New Roman"/>
                <w:b w:val="0"/>
                <w:sz w:val="20"/>
              </w:rPr>
              <w:t>0.848</w:t>
            </w:r>
          </w:p>
        </w:tc>
      </w:tr>
      <w:tr>
        <w:tc>
          <w:tcPr>
            <w:tcW w:type="dxa" w:w="4320"/>
            <w:vAlign w:val="center"/>
          </w:tcPr>
          <w:p>
            <w:r/>
            <w:r>
              <w:rPr>
                <w:rFonts w:ascii="Times New Roman" w:hAnsi="Times New Roman"/>
                <w:b w:val="0"/>
                <w:sz w:val="20"/>
              </w:rPr>
              <w:t>Validation set size</w:t>
            </w:r>
          </w:p>
        </w:tc>
        <w:tc>
          <w:tcPr>
            <w:tcW w:type="dxa" w:w="4320"/>
            <w:vAlign w:val="center"/>
          </w:tcPr>
          <w:p>
            <w:r/>
            <w:r>
              <w:rPr>
                <w:rFonts w:ascii="Times New Roman" w:hAnsi="Times New Roman"/>
                <w:b w:val="0"/>
                <w:sz w:val="20"/>
              </w:rPr>
              <w:t>31 patients</w:t>
            </w:r>
          </w:p>
        </w:tc>
      </w:tr>
      <w:tr>
        <w:tc>
          <w:tcPr>
            <w:tcW w:type="dxa" w:w="4320"/>
            <w:vAlign w:val="center"/>
          </w:tcPr>
          <w:p>
            <w:r/>
            <w:r>
              <w:rPr>
                <w:rFonts w:ascii="Times New Roman" w:hAnsi="Times New Roman"/>
                <w:b w:val="0"/>
                <w:sz w:val="20"/>
              </w:rPr>
              <w:t>Training set size</w:t>
            </w:r>
          </w:p>
        </w:tc>
        <w:tc>
          <w:tcPr>
            <w:tcW w:type="dxa" w:w="4320"/>
            <w:vAlign w:val="center"/>
          </w:tcPr>
          <w:p>
            <w:r/>
            <w:r>
              <w:rPr>
                <w:rFonts w:ascii="Times New Roman" w:hAnsi="Times New Roman"/>
                <w:b w:val="0"/>
                <w:sz w:val="20"/>
              </w:rPr>
              <w:t>120 patients</w:t>
            </w:r>
          </w:p>
        </w:tc>
      </w:tr>
    </w:tbl>
    <w:p>
      <w:pPr>
        <w:pStyle w:val="Heading2"/>
      </w:pPr>
      <w:r>
        <w:t>4.2 Radiomics Arm Output</w:t>
      </w:r>
    </w:p>
    <w:p>
      <w:r>
        <w:t>The radiomics arm produces the preprocessing and feature-extraction dataset required for classical machine learning. At this stage, the key outputs are not model performance values but structured imaging artifacts and metadata that allow reliable PyRadiomics extraction. Each accepted patient should have a CT NIfTI file, one selected nodule mask NIfTI file, overlay images for visual checking, a criteria file explaining the selection decision, and a row in the metadata CSV.</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rFonts w:ascii="Times New Roman" w:hAnsi="Times New Roman"/>
                <w:b/>
                <w:sz w:val="20"/>
              </w:rPr>
              <w:t>Output File</w:t>
            </w:r>
          </w:p>
        </w:tc>
        <w:tc>
          <w:tcPr>
            <w:tcW w:type="dxa" w:w="6480"/>
            <w:vAlign w:val="center"/>
            <w:shd w:fill="D9EAF7"/>
          </w:tcPr>
          <w:p>
            <w:r/>
            <w:r>
              <w:rPr>
                <w:rFonts w:ascii="Times New Roman" w:hAnsi="Times New Roman"/>
                <w:b/>
                <w:sz w:val="20"/>
              </w:rPr>
              <w:t>Purpose</w:t>
            </w:r>
          </w:p>
        </w:tc>
      </w:tr>
      <w:tr>
        <w:tc>
          <w:tcPr>
            <w:tcW w:type="dxa" w:w="3600"/>
            <w:vAlign w:val="center"/>
          </w:tcPr>
          <w:p>
            <w:r/>
            <w:r>
              <w:rPr>
                <w:rFonts w:ascii="Times New Roman" w:hAnsi="Times New Roman"/>
                <w:b w:val="0"/>
                <w:sz w:val="20"/>
              </w:rPr>
              <w:t>ct.nii.gz</w:t>
            </w:r>
          </w:p>
        </w:tc>
        <w:tc>
          <w:tcPr>
            <w:tcW w:type="dxa" w:w="6480"/>
            <w:vAlign w:val="center"/>
          </w:tcPr>
          <w:p>
            <w:r/>
            <w:r>
              <w:rPr>
                <w:rFonts w:ascii="Times New Roman" w:hAnsi="Times New Roman"/>
                <w:b w:val="0"/>
                <w:sz w:val="20"/>
              </w:rPr>
              <w:t>Reference CT volume used as PyRadiomics image input</w:t>
            </w:r>
          </w:p>
        </w:tc>
      </w:tr>
      <w:tr>
        <w:tc>
          <w:tcPr>
            <w:tcW w:type="dxa" w:w="3600"/>
            <w:vAlign w:val="center"/>
          </w:tcPr>
          <w:p>
            <w:r/>
            <w:r>
              <w:rPr>
                <w:rFonts w:ascii="Times New Roman" w:hAnsi="Times New Roman"/>
                <w:b w:val="0"/>
                <w:sz w:val="20"/>
              </w:rPr>
              <w:t>mask__nodule_...nii.gz</w:t>
            </w:r>
          </w:p>
        </w:tc>
        <w:tc>
          <w:tcPr>
            <w:tcW w:type="dxa" w:w="6480"/>
            <w:vAlign w:val="center"/>
          </w:tcPr>
          <w:p>
            <w:r/>
            <w:r>
              <w:rPr>
                <w:rFonts w:ascii="Times New Roman" w:hAnsi="Times New Roman"/>
                <w:b w:val="0"/>
                <w:sz w:val="20"/>
              </w:rPr>
              <w:t>Binary selected nodule mask used as PyRadiomics ROI input</w:t>
            </w:r>
          </w:p>
        </w:tc>
      </w:tr>
      <w:tr>
        <w:tc>
          <w:tcPr>
            <w:tcW w:type="dxa" w:w="3600"/>
            <w:vAlign w:val="center"/>
          </w:tcPr>
          <w:p>
            <w:r/>
            <w:r>
              <w:rPr>
                <w:rFonts w:ascii="Times New Roman" w:hAnsi="Times New Roman"/>
                <w:b w:val="0"/>
                <w:sz w:val="20"/>
              </w:rPr>
              <w:t>overlays__nodule_.../</w:t>
            </w:r>
          </w:p>
        </w:tc>
        <w:tc>
          <w:tcPr>
            <w:tcW w:type="dxa" w:w="6480"/>
            <w:vAlign w:val="center"/>
          </w:tcPr>
          <w:p>
            <w:r/>
            <w:r>
              <w:rPr>
                <w:rFonts w:ascii="Times New Roman" w:hAnsi="Times New Roman"/>
                <w:b w:val="0"/>
                <w:sz w:val="20"/>
              </w:rPr>
              <w:t>Visual quality-control images showing mask alignment</w:t>
            </w:r>
          </w:p>
        </w:tc>
      </w:tr>
      <w:tr>
        <w:tc>
          <w:tcPr>
            <w:tcW w:type="dxa" w:w="3600"/>
            <w:vAlign w:val="center"/>
          </w:tcPr>
          <w:p>
            <w:r/>
            <w:r>
              <w:rPr>
                <w:rFonts w:ascii="Times New Roman" w:hAnsi="Times New Roman"/>
                <w:b w:val="0"/>
                <w:sz w:val="20"/>
              </w:rPr>
              <w:t>criteria__mask__nodule_....txt</w:t>
            </w:r>
          </w:p>
        </w:tc>
        <w:tc>
          <w:tcPr>
            <w:tcW w:type="dxa" w:w="6480"/>
            <w:vAlign w:val="center"/>
          </w:tcPr>
          <w:p>
            <w:r/>
            <w:r>
              <w:rPr>
                <w:rFonts w:ascii="Times New Roman" w:hAnsi="Times New Roman"/>
                <w:b w:val="0"/>
                <w:sz w:val="20"/>
              </w:rPr>
              <w:t>Human-readable explanation of why the nodule was chosen</w:t>
            </w:r>
          </w:p>
        </w:tc>
      </w:tr>
      <w:tr>
        <w:tc>
          <w:tcPr>
            <w:tcW w:type="dxa" w:w="3600"/>
            <w:vAlign w:val="center"/>
          </w:tcPr>
          <w:p>
            <w:r/>
            <w:r>
              <w:rPr>
                <w:rFonts w:ascii="Times New Roman" w:hAnsi="Times New Roman"/>
                <w:b w:val="0"/>
                <w:sz w:val="20"/>
              </w:rPr>
              <w:t>selected_nodules_metadata.csv</w:t>
            </w:r>
          </w:p>
        </w:tc>
        <w:tc>
          <w:tcPr>
            <w:tcW w:type="dxa" w:w="6480"/>
            <w:vAlign w:val="center"/>
          </w:tcPr>
          <w:p>
            <w:r/>
            <w:r>
              <w:rPr>
                <w:rFonts w:ascii="Times New Roman" w:hAnsi="Times New Roman"/>
                <w:b w:val="0"/>
                <w:sz w:val="20"/>
              </w:rPr>
              <w:t>Structured table linking patient ID, CT path, mask path, nodule ID, reader, malignancy score, label, and criteria</w:t>
            </w:r>
          </w:p>
        </w:tc>
      </w:tr>
    </w:tbl>
    <w:p>
      <w:r>
        <w:br w:type="page"/>
      </w:r>
    </w:p>
    <w:p>
      <w:pPr>
        <w:pStyle w:val="Heading2"/>
      </w:pPr>
      <w:r>
        <w:t>4.3 Planned Radiomics Model Comparison</w:t>
      </w:r>
    </w:p>
    <w:p>
      <w:r>
        <w:t>Once features are extracted, the radiomics models should be compared using patient-safe splitting and cross-validation. The recommended first experimental design is a three-class or ordinal malignancy score task using low-risk, intermediate, and high-risk labels. A simpler binary model may also be reported by combining scores 1-2 as low risk and 4-5 as high risk, with score 3 excluded or treated as intermediate.</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D9EAF7"/>
          </w:tcPr>
          <w:p>
            <w:r/>
            <w:r>
              <w:rPr>
                <w:rFonts w:ascii="Times New Roman" w:hAnsi="Times New Roman"/>
                <w:b/>
                <w:sz w:val="20"/>
              </w:rPr>
              <w:t>Model</w:t>
            </w:r>
          </w:p>
        </w:tc>
        <w:tc>
          <w:tcPr>
            <w:tcW w:type="dxa" w:w="3456"/>
            <w:vAlign w:val="center"/>
            <w:shd w:fill="D9EAF7"/>
          </w:tcPr>
          <w:p>
            <w:r/>
            <w:r>
              <w:rPr>
                <w:rFonts w:ascii="Times New Roman" w:hAnsi="Times New Roman"/>
                <w:b/>
                <w:sz w:val="20"/>
              </w:rPr>
              <w:t>Input</w:t>
            </w:r>
          </w:p>
        </w:tc>
        <w:tc>
          <w:tcPr>
            <w:tcW w:type="dxa" w:w="3744"/>
            <w:vAlign w:val="center"/>
            <w:shd w:fill="D9EAF7"/>
          </w:tcPr>
          <w:p>
            <w:r/>
            <w:r>
              <w:rPr>
                <w:rFonts w:ascii="Times New Roman" w:hAnsi="Times New Roman"/>
                <w:b/>
                <w:sz w:val="20"/>
              </w:rPr>
              <w:t>Role in Study</w:t>
            </w:r>
          </w:p>
        </w:tc>
      </w:tr>
      <w:tr>
        <w:tc>
          <w:tcPr>
            <w:tcW w:type="dxa" w:w="3024"/>
            <w:vAlign w:val="center"/>
          </w:tcPr>
          <w:p>
            <w:r/>
            <w:r>
              <w:rPr>
                <w:rFonts w:ascii="Times New Roman" w:hAnsi="Times New Roman"/>
                <w:b w:val="0"/>
                <w:sz w:val="20"/>
              </w:rPr>
              <w:t>Logistic Regression</w:t>
            </w:r>
          </w:p>
        </w:tc>
        <w:tc>
          <w:tcPr>
            <w:tcW w:type="dxa" w:w="3456"/>
            <w:vAlign w:val="center"/>
          </w:tcPr>
          <w:p>
            <w:r/>
            <w:r>
              <w:rPr>
                <w:rFonts w:ascii="Times New Roman" w:hAnsi="Times New Roman"/>
                <w:b w:val="0"/>
                <w:sz w:val="20"/>
              </w:rPr>
              <w:t>Selected radiomics features</w:t>
            </w:r>
          </w:p>
        </w:tc>
        <w:tc>
          <w:tcPr>
            <w:tcW w:type="dxa" w:w="3744"/>
            <w:vAlign w:val="center"/>
          </w:tcPr>
          <w:p>
            <w:r/>
            <w:r>
              <w:rPr>
                <w:rFonts w:ascii="Times New Roman" w:hAnsi="Times New Roman"/>
                <w:b w:val="0"/>
                <w:sz w:val="20"/>
              </w:rPr>
              <w:t>Interpretable baseline</w:t>
            </w:r>
          </w:p>
        </w:tc>
      </w:tr>
      <w:tr>
        <w:tc>
          <w:tcPr>
            <w:tcW w:type="dxa" w:w="3024"/>
            <w:vAlign w:val="center"/>
          </w:tcPr>
          <w:p>
            <w:r/>
            <w:r>
              <w:rPr>
                <w:rFonts w:ascii="Times New Roman" w:hAnsi="Times New Roman"/>
                <w:b w:val="0"/>
                <w:sz w:val="20"/>
              </w:rPr>
              <w:t>SVM</w:t>
            </w:r>
          </w:p>
        </w:tc>
        <w:tc>
          <w:tcPr>
            <w:tcW w:type="dxa" w:w="3456"/>
            <w:vAlign w:val="center"/>
          </w:tcPr>
          <w:p>
            <w:r/>
            <w:r>
              <w:rPr>
                <w:rFonts w:ascii="Times New Roman" w:hAnsi="Times New Roman"/>
                <w:b w:val="0"/>
                <w:sz w:val="20"/>
              </w:rPr>
              <w:t>Scaled selected radiomics features</w:t>
            </w:r>
          </w:p>
        </w:tc>
        <w:tc>
          <w:tcPr>
            <w:tcW w:type="dxa" w:w="3744"/>
            <w:vAlign w:val="center"/>
          </w:tcPr>
          <w:p>
            <w:r/>
            <w:r>
              <w:rPr>
                <w:rFonts w:ascii="Times New Roman" w:hAnsi="Times New Roman"/>
                <w:b w:val="0"/>
                <w:sz w:val="20"/>
              </w:rPr>
              <w:t>Common radiomics classifier for small datasets</w:t>
            </w:r>
          </w:p>
        </w:tc>
      </w:tr>
      <w:tr>
        <w:tc>
          <w:tcPr>
            <w:tcW w:type="dxa" w:w="3024"/>
            <w:vAlign w:val="center"/>
          </w:tcPr>
          <w:p>
            <w:r/>
            <w:r>
              <w:rPr>
                <w:rFonts w:ascii="Times New Roman" w:hAnsi="Times New Roman"/>
                <w:b w:val="0"/>
                <w:sz w:val="20"/>
              </w:rPr>
              <w:t>Random Forest</w:t>
            </w:r>
          </w:p>
        </w:tc>
        <w:tc>
          <w:tcPr>
            <w:tcW w:type="dxa" w:w="3456"/>
            <w:vAlign w:val="center"/>
          </w:tcPr>
          <w:p>
            <w:r/>
            <w:r>
              <w:rPr>
                <w:rFonts w:ascii="Times New Roman" w:hAnsi="Times New Roman"/>
                <w:b w:val="0"/>
                <w:sz w:val="20"/>
              </w:rPr>
              <w:t>Selected radiomics features</w:t>
            </w:r>
          </w:p>
        </w:tc>
        <w:tc>
          <w:tcPr>
            <w:tcW w:type="dxa" w:w="3744"/>
            <w:vAlign w:val="center"/>
          </w:tcPr>
          <w:p>
            <w:r/>
            <w:r>
              <w:rPr>
                <w:rFonts w:ascii="Times New Roman" w:hAnsi="Times New Roman"/>
                <w:b w:val="0"/>
                <w:sz w:val="20"/>
              </w:rPr>
              <w:t>Non-linear model with feature importance</w:t>
            </w:r>
          </w:p>
        </w:tc>
      </w:tr>
      <w:tr>
        <w:tc>
          <w:tcPr>
            <w:tcW w:type="dxa" w:w="3024"/>
            <w:vAlign w:val="center"/>
          </w:tcPr>
          <w:p>
            <w:r/>
            <w:r>
              <w:rPr>
                <w:rFonts w:ascii="Times New Roman" w:hAnsi="Times New Roman"/>
                <w:b w:val="0"/>
                <w:sz w:val="20"/>
              </w:rPr>
              <w:t>XGBoost</w:t>
            </w:r>
          </w:p>
        </w:tc>
        <w:tc>
          <w:tcPr>
            <w:tcW w:type="dxa" w:w="3456"/>
            <w:vAlign w:val="center"/>
          </w:tcPr>
          <w:p>
            <w:r/>
            <w:r>
              <w:rPr>
                <w:rFonts w:ascii="Times New Roman" w:hAnsi="Times New Roman"/>
                <w:b w:val="0"/>
                <w:sz w:val="20"/>
              </w:rPr>
              <w:t>Selected radiomics features</w:t>
            </w:r>
          </w:p>
        </w:tc>
        <w:tc>
          <w:tcPr>
            <w:tcW w:type="dxa" w:w="3744"/>
            <w:vAlign w:val="center"/>
          </w:tcPr>
          <w:p>
            <w:r/>
            <w:r>
              <w:rPr>
                <w:rFonts w:ascii="Times New Roman" w:hAnsi="Times New Roman"/>
                <w:b w:val="0"/>
                <w:sz w:val="20"/>
              </w:rPr>
              <w:t>Main strong tabular model</w:t>
            </w:r>
          </w:p>
        </w:tc>
      </w:tr>
      <w:tr>
        <w:tc>
          <w:tcPr>
            <w:tcW w:type="dxa" w:w="3024"/>
            <w:vAlign w:val="center"/>
          </w:tcPr>
          <w:p>
            <w:r/>
            <w:r>
              <w:rPr>
                <w:rFonts w:ascii="Times New Roman" w:hAnsi="Times New Roman"/>
                <w:b w:val="0"/>
                <w:sz w:val="20"/>
              </w:rPr>
              <w:t>Hybrid model, future work</w:t>
            </w:r>
          </w:p>
        </w:tc>
        <w:tc>
          <w:tcPr>
            <w:tcW w:type="dxa" w:w="3456"/>
            <w:vAlign w:val="center"/>
          </w:tcPr>
          <w:p>
            <w:r/>
            <w:r>
              <w:rPr>
                <w:rFonts w:ascii="Times New Roman" w:hAnsi="Times New Roman"/>
                <w:b w:val="0"/>
                <w:sz w:val="20"/>
              </w:rPr>
              <w:t>Radiomics + CNN embeddings</w:t>
            </w:r>
          </w:p>
        </w:tc>
        <w:tc>
          <w:tcPr>
            <w:tcW w:type="dxa" w:w="3744"/>
            <w:vAlign w:val="center"/>
          </w:tcPr>
          <w:p>
            <w:r/>
            <w:r>
              <w:rPr>
                <w:rFonts w:ascii="Times New Roman" w:hAnsi="Times New Roman"/>
                <w:b w:val="0"/>
                <w:sz w:val="20"/>
              </w:rPr>
              <w:t>Combines engineered and learned features</w:t>
            </w:r>
          </w:p>
        </w:tc>
      </w:tr>
    </w:tbl>
    <w:p>
      <w:pPr>
        <w:pStyle w:val="Heading1"/>
      </w:pPr>
      <w:r>
        <w:t>5. Discussion</w:t>
      </w:r>
    </w:p>
    <w:p>
      <w:pPr>
        <w:pStyle w:val="Heading2"/>
      </w:pPr>
      <w:r>
        <w:t>5.1 Alignment of the Two Approaches</w:t>
      </w:r>
    </w:p>
    <w:p>
      <w:r>
        <w:t>The revised manuscript is now aligned with the project report by presenting the work as two complementary tracks. The deep-learning track is highly AI-centered and tests whether full CT volumes can be processed end-to-end by a compact 3D CNN. The medical-imaging radiomics track is more segmentation- and biomarker-centered: it extracts true nodule masks from XML annotations, converts them into analysis-ready NIfTI files, and uses radiomic descriptors to create an interpretable feature space. This structure makes the project easier to defend because each approach has a clear data unit, input type, modeling logic, and limitation profile.</w:t>
      </w:r>
    </w:p>
    <w:p>
      <w:pPr>
        <w:pStyle w:val="Heading2"/>
      </w:pPr>
      <w:r>
        <w:t>5.2 Strengths</w:t>
      </w:r>
    </w:p>
    <w:p>
      <w:pPr>
        <w:pStyle w:val="ListBullet"/>
      </w:pPr>
      <w:r>
        <w:t>The project combines an AI approach and a classical medical-imaging approach rather than relying on only one method.</w:t>
      </w:r>
    </w:p>
    <w:p>
      <w:pPr>
        <w:pStyle w:val="ListBullet"/>
      </w:pPr>
      <w:r>
        <w:t>The radiomics arm uses true unblindedReadNodule contours, which are appropriate for ROI-based feature extraction.</w:t>
      </w:r>
    </w:p>
    <w:p>
      <w:pPr>
        <w:pStyle w:val="ListBullet"/>
      </w:pPr>
      <w:r>
        <w:t>The selected mask filenames and metadata explicitly record nodule ID, reader index, malignancy score, class label, voxel count, slice count, and selection criteria.</w:t>
      </w:r>
    </w:p>
    <w:p>
      <w:pPr>
        <w:pStyle w:val="ListBullet"/>
      </w:pPr>
      <w:r>
        <w:t>The deep-learning arm provides an end-to-end comparison point that does not require hand-engineered features.</w:t>
      </w:r>
    </w:p>
    <w:p>
      <w:pPr>
        <w:pStyle w:val="ListBullet"/>
      </w:pPr>
      <w:r>
        <w:t>The radiomics arm improves interpretability and can provide feature-importance explanations through models such as Random Forest, XGBoost, SHAP, and LASSO-selected biomarkers.</w:t>
      </w:r>
    </w:p>
    <w:p>
      <w:pPr>
        <w:pStyle w:val="Heading2"/>
      </w:pPr>
      <w:r>
        <w:t>5.3 Limitations</w:t>
      </w:r>
    </w:p>
    <w:p>
      <w:pPr>
        <w:pStyle w:val="ListBullet"/>
      </w:pPr>
      <w:r>
        <w:t>The deep-learning result is affected by possible metadata leakage because diagnosis-related tabular fields were used as model inputs.</w:t>
      </w:r>
    </w:p>
    <w:p>
      <w:pPr>
        <w:pStyle w:val="ListBullet"/>
      </w:pPr>
      <w:r>
        <w:t>The validation set is small, so reported metrics need confidence intervals and cross-validation.</w:t>
      </w:r>
    </w:p>
    <w:p>
      <w:pPr>
        <w:pStyle w:val="ListBullet"/>
      </w:pPr>
      <w:r>
        <w:t>The radiomics model performance has not yet been reported in this aligned manuscript because the current completed step is mask generation and preparation for feature extraction.</w:t>
      </w:r>
    </w:p>
    <w:p>
      <w:pPr>
        <w:pStyle w:val="ListBullet"/>
      </w:pPr>
      <w:r>
        <w:t>Selecting one nodule per patient simplifies modeling but may discard information from additional nodules. Future work can extract features from all valid nodules and aggregate them at patient level.</w:t>
      </w:r>
    </w:p>
    <w:p>
      <w:pPr>
        <w:pStyle w:val="ListBullet"/>
      </w:pPr>
      <w:r>
        <w:t>LIDC-IDRI does not provide full staging and survival endpoints required for early-versus-late diagnosis analysis and Kaplan-Meier survival modeling.</w:t>
      </w:r>
    </w:p>
    <w:p>
      <w:pPr>
        <w:pStyle w:val="Heading2"/>
      </w:pPr>
      <w:r>
        <w:t>5.4 Academic Justification of Nodule Selection</w:t>
      </w:r>
    </w:p>
    <w:p>
      <w:r>
        <w:t>The radiomics arm treats the nodule as the unit of analysis. Therefore, it is academically acceptable to select different nodules from different patients, including nodules with different malignancy scores, provided that the selection rule is consistent, documented, and not manually biased toward the highest score. The chosen strategy is to select one valid nodule per patient while balancing malignancy-score distribution. This avoids overrepresenting highly malignant nodules and supports a model that learns radiomic patterns across a broader severity spectrum.</w:t>
      </w:r>
    </w:p>
    <w:p>
      <w:pPr>
        <w:pStyle w:val="Heading1"/>
      </w:pPr>
      <w:r>
        <w:t>6. Conclusion and Future Work</w:t>
      </w:r>
    </w:p>
    <w:p>
      <w:r>
        <w:t>This revised paper reframes the project as a dual-approach framework for lung cancer diagnosis from CT imaging. The first approach is a multimodal 3D deep-learning model that processes full CT volumes and structured metadata. The second approach is a medical-imaging radiomics workflow that extracts unblindedReadNodule masks from XML files, saves selected binary masks as NIfTI segmentations, extracts PyRadiomics features, performs feature selection, and trains classical machine-learning models. This alignment makes the paper consistent with the updated report and clarifies that the project includes both an AI-based pathway and a segmentation-driven radiomics pathway.</w:t>
      </w:r>
    </w:p>
    <w:p>
      <w:pPr>
        <w:ind w:left="360" w:hanging="360"/>
      </w:pPr>
      <w:r>
        <w:t xml:space="preserve">1. </w:t>
      </w:r>
      <w:r>
        <w:t>Retrain the deep-learning model in an image-only or non-leaking metadata configuration.</w:t>
      </w:r>
    </w:p>
    <w:p>
      <w:pPr>
        <w:ind w:left="360" w:hanging="360"/>
      </w:pPr>
      <w:r>
        <w:t xml:space="preserve">2. </w:t>
      </w:r>
      <w:r>
        <w:t>Run PyRadiomics on the selected CT-mask pairs and build a complete radiomics feature matrix.</w:t>
      </w:r>
    </w:p>
    <w:p>
      <w:pPr>
        <w:ind w:left="360" w:hanging="360"/>
      </w:pPr>
      <w:r>
        <w:t xml:space="preserve">3. </w:t>
      </w:r>
      <w:r>
        <w:t>Train Logistic Regression, SVM, Random Forest, and XGBoost models using robust cross-validation.</w:t>
      </w:r>
    </w:p>
    <w:p>
      <w:pPr>
        <w:ind w:left="360" w:hanging="360"/>
      </w:pPr>
      <w:r>
        <w:t xml:space="preserve">4. </w:t>
      </w:r>
      <w:r>
        <w:t>Compare deep-learning and radiomics results on identical patient splits.</w:t>
      </w:r>
    </w:p>
    <w:p>
      <w:pPr>
        <w:ind w:left="360" w:hanging="360"/>
      </w:pPr>
      <w:r>
        <w:t xml:space="preserve">5. </w:t>
      </w:r>
      <w:r>
        <w:t>Develop a hybrid model combining selected radiomic features and CNN-derived embeddings.</w:t>
      </w:r>
    </w:p>
    <w:p>
      <w:pPr>
        <w:ind w:left="360" w:hanging="360"/>
      </w:pPr>
      <w:r>
        <w:t xml:space="preserve">6. </w:t>
      </w:r>
      <w:r>
        <w:t>Use external cohorts such as NSCLC-Radiomics or NLST for staging, survival endpoints, and Kaplan-Meier analysis.</w:t>
      </w:r>
    </w:p>
    <w:p>
      <w:pPr>
        <w:pStyle w:val="Heading1"/>
      </w:pPr>
      <w:r>
        <w:t>Methodology Statement for Report/Paper Consistency</w:t>
      </w:r>
    </w:p>
    <w:p>
      <w:r>
        <w:t>In this project, two complementary approaches were implemented. The first was an AI-based 3D deep-learning approach that used CT volumes and structured metadata for malignancy prediction. The second was a medical-imaging radiomics approach that extracted true nodule masks from LIDC-IDRI XML files, used only unblindedReadNodule annotations, saved selected nodule masks as aligned .nii.gz segmentations, documented nodule selection criteria, and prepared the data for PyRadiomics feature extraction and classical machine-learning classification. The radiomics pipeline selected one valid nodule per patient while preserving malignancy-score distribution, rather than always selecting the highest-score nodule.</w:t>
      </w:r>
    </w:p>
    <w:p>
      <w:pPr>
        <w:pStyle w:val="Heading1"/>
      </w:pPr>
      <w:r>
        <w:t>References</w:t>
      </w:r>
    </w:p>
    <w:p>
      <w:pPr>
        <w:ind w:left="360" w:hanging="360"/>
      </w:pPr>
      <w:r>
        <w:t xml:space="preserve">1. </w:t>
      </w:r>
      <w:r>
        <w:t>Armato S. G. et al. The Lung Image Database Consortium (LIDC) and Image Database Resource Initiative (IDRI): A completed reference database of lung nodules on CT scans. Medical Physics, 2011.</w:t>
      </w:r>
    </w:p>
    <w:p>
      <w:pPr>
        <w:ind w:left="360" w:hanging="360"/>
      </w:pPr>
      <w:r>
        <w:t xml:space="preserve">2. </w:t>
      </w:r>
      <w:r>
        <w:t>National Lung Screening Trial Research Team. Reduced lung-cancer mortality with low-dose computed tomographic screening. New England Journal of Medicine, 2011.</w:t>
      </w:r>
    </w:p>
    <w:p>
      <w:pPr>
        <w:ind w:left="360" w:hanging="360"/>
      </w:pPr>
      <w:r>
        <w:t xml:space="preserve">3. </w:t>
      </w:r>
      <w:r>
        <w:t>de Koning H. J. et al. Reduced lung-cancer mortality with volume CT screening in a randomized trial. New England Journal of Medicine, 2020.</w:t>
      </w:r>
    </w:p>
    <w:p>
      <w:pPr>
        <w:ind w:left="360" w:hanging="360"/>
      </w:pPr>
      <w:r>
        <w:t xml:space="preserve">4. </w:t>
      </w:r>
      <w:r>
        <w:t>Aerts H. J. W. L. et al. Decoding tumour phenotype by noninvasive imaging using a quantitative radiomics approach. Nature Communications, 2014.</w:t>
      </w:r>
    </w:p>
    <w:p>
      <w:pPr>
        <w:ind w:left="360" w:hanging="360"/>
      </w:pPr>
      <w:r>
        <w:t xml:space="preserve">5. </w:t>
      </w:r>
      <w:r>
        <w:t>van Griethuysen J. J. M. et al. Computational radiomics system to decode the radiographic phenotype. Cancer Research, 2017.</w:t>
      </w:r>
    </w:p>
    <w:p>
      <w:pPr>
        <w:ind w:left="360" w:hanging="360"/>
      </w:pPr>
      <w:r>
        <w:t xml:space="preserve">6. </w:t>
      </w:r>
      <w:r>
        <w:t>He K., Zhang X., Ren S., Sun J. Deep residual learning for image recognition. CVPR, 2016.</w:t>
      </w:r>
    </w:p>
    <w:p>
      <w:pPr>
        <w:ind w:left="360" w:hanging="360"/>
      </w:pPr>
      <w:r>
        <w:t xml:space="preserve">7. </w:t>
      </w:r>
      <w:r>
        <w:t>Hu J., Shen L., Sun G. Squeeze-and-Excitation Networks. CVPR, 2018.</w:t>
      </w:r>
    </w:p>
    <w:p>
      <w:pPr>
        <w:ind w:left="360" w:hanging="360"/>
      </w:pPr>
      <w:r>
        <w:t xml:space="preserve">8. </w:t>
      </w:r>
      <w:r>
        <w:t>Selvaraju R. R. et al. Grad-CAM: Visual explanations from deep networks via gradient-based localization. ICCV, 2017.</w:t>
      </w:r>
    </w:p>
    <w:p>
      <w:pPr>
        <w:ind w:left="360" w:hanging="360"/>
      </w:pPr>
      <w:r>
        <w:t xml:space="preserve">9. </w:t>
      </w:r>
      <w:r>
        <w:t>Chen T., Guestrin C. XGBoost: A scalable tree boosting system. KDD, 2016.</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Dual-Approach Lung Cancer Diagnosis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