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Project Documentation: Credit Card Fraud Detection</w:t>
      </w:r>
    </w:p>
    <w:p>
      <w:pPr>
        <w:pStyle w:val="Heading2"/>
        <w:pStyle w:val="MdHeading2"/>
      </w:pPr>
      <w:r>
        <w:t xml:space="preserve">1. Introduction</w:t>
      </w:r>
    </w:p>
    <w:p>
      <w:pPr>
        <w:pStyle w:val="MdParagraph"/>
      </w:pPr>
      <w:r>
        <w:t xml:space="preserve">Credit card fraud detection is a critical application of machine learning in the financial sector. The primary challenge is the extreme class imbalance, as fraudulent transactions are rare compared to legitimate ones. This documentation outlines the methodology, experimental setup, and results of the project.</w:t>
      </w:r>
    </w:p>
    <w:p>
      <w:pPr>
        <w:pStyle w:val="MdSpace"/>
        <w:spacing w:before="0" w:after="60"/>
      </w:pPr>
    </w:p>
    <w:p>
      <w:pPr>
        <w:pStyle w:val="Heading2"/>
        <w:pStyle w:val="MdHeading2"/>
      </w:pPr>
      <w:r>
        <w:t xml:space="preserve">2. Methodology</w:t>
      </w:r>
    </w:p>
    <w:p>
      <w:pPr>
        <w:pStyle w:val="Heading3"/>
        <w:pStyle w:val="MdHeading3"/>
      </w:pPr>
      <w:r>
        <w:t xml:space="preserve">2.1 Data Loading and Inspection</w:t>
      </w:r>
    </w:p>
    <w:p>
      <w:pPr>
        <w:pStyle w:val="MdParagraph"/>
      </w:pPr>
      <w:r>
        <w:t xml:space="preserve">The dataset </w:t>
      </w:r>
      <w:r>
        <w:rPr>
          <w:rStyle w:val="MdCode"/>
          <w:u w:val="single"/>
        </w:rPr>
        <w:t xml:space="preserve">creditcard.csv</w:t>
      </w:r>
      <w:r>
        <w:t xml:space="preserve"> is loaded using </w:t>
      </w:r>
      <w:r>
        <w:rPr>
          <w:rStyle w:val="MdCode"/>
          <w:u w:val="single"/>
        </w:rPr>
        <w:t xml:space="preserve">pandas</w:t>
      </w:r>
      <w:r>
        <w:t xml:space="preserve">. Initial inspection includes:</w:t>
      </w:r>
    </w:p>
    <w:p>
      <w:pPr>
        <w:pStyle w:val="MdListItem"/>
        <w:numPr>
          <w:ilvl w:val="0"/>
          <w:numId w:val="2"/>
        </w:numPr>
      </w:pPr>
      <w:r>
        <w:t xml:space="preserve">Checking data types and missing values.</w:t>
      </w:r>
    </w:p>
    <w:p>
      <w:pPr>
        <w:pStyle w:val="MdListItem"/>
        <w:numPr>
          <w:ilvl w:val="0"/>
          <w:numId w:val="2"/>
        </w:numPr>
      </w:pPr>
      <w:r>
        <w:t xml:space="preserve">Statistical summary of features.</w:t>
      </w:r>
    </w:p>
    <w:p>
      <w:pPr>
        <w:pStyle w:val="MdListItem"/>
        <w:numPr>
          <w:ilvl w:val="0"/>
          <w:numId w:val="2"/>
        </w:numPr>
      </w:pPr>
      <w:r>
        <w:t xml:space="preserve">Analysis of the target variable </w:t>
      </w:r>
      <w:r>
        <w:rPr>
          <w:rStyle w:val="MdCode"/>
          <w:u w:val="single"/>
        </w:rPr>
        <w:t xml:space="preserve">Class</w:t>
      </w:r>
      <w:r>
        <w:t xml:space="preserve">.</w:t>
      </w:r>
    </w:p>
    <w:p>
      <w:pPr>
        <w:pStyle w:val="MdSpace"/>
        <w:spacing w:before="0" w:after="60"/>
      </w:pPr>
    </w:p>
    <w:p>
      <w:pPr>
        <w:pStyle w:val="Heading3"/>
        <w:pStyle w:val="MdHeading3"/>
      </w:pPr>
      <w:r>
        <w:t xml:space="preserve">2.2 Exploratory Data Analysis (EDA)</w:t>
      </w:r>
    </w:p>
    <w:p>
      <w:pPr>
        <w:pStyle w:val="MdListItem"/>
        <w:numPr>
          <w:ilvl w:val="0"/>
          <w:numId w:val="2"/>
        </w:numPr>
      </w:pPr>
      <w:r>
        <w:rPr>
          <w:rStyle w:val="MdStrong"/>
          <w:b/>
          <w:bCs/>
        </w:rPr>
        <w:t xml:space="preserve">Class Distribution</w:t>
      </w:r>
      <w:r>
        <w:t xml:space="preserve">: Visualization using bar charts to highlight the 578:1 imbalance ratio.</w:t>
      </w:r>
    </w:p>
    <w:p>
      <w:pPr>
        <w:pStyle w:val="MdListItem"/>
        <w:numPr>
          <w:ilvl w:val="0"/>
          <w:numId w:val="2"/>
        </w:numPr>
      </w:pPr>
      <w:r>
        <w:rPr>
          <w:rStyle w:val="MdStrong"/>
          <w:b/>
          <w:bCs/>
        </w:rPr>
        <w:t xml:space="preserve">Feature Correlation</w:t>
      </w:r>
      <w:r>
        <w:t xml:space="preserve">: Heatmaps to identify relationships between the PCA-transformed features (V1-V28) and the target.</w:t>
      </w:r>
    </w:p>
    <w:p>
      <w:pPr>
        <w:pStyle w:val="MdSpace"/>
        <w:spacing w:before="0" w:after="60"/>
      </w:pPr>
    </w:p>
    <w:p>
      <w:pPr>
        <w:pStyle w:val="Heading3"/>
        <w:pStyle w:val="MdHeading3"/>
      </w:pPr>
      <w:r>
        <w:t xml:space="preserve">2.3 Data Preprocessing</w:t>
      </w:r>
    </w:p>
    <w:p>
      <w:pPr>
        <w:pStyle w:val="MdListItem"/>
        <w:numPr>
          <w:ilvl w:val="0"/>
          <w:numId w:val="2"/>
        </w:numPr>
      </w:pPr>
      <w:r>
        <w:rPr>
          <w:rStyle w:val="MdStrong"/>
          <w:b/>
          <w:bCs/>
        </w:rPr>
        <w:t xml:space="preserve">Scaling</w:t>
      </w:r>
      <w:r>
        <w:t xml:space="preserve">: The </w:t>
      </w:r>
      <w:r>
        <w:rPr>
          <w:rStyle w:val="MdCode"/>
          <w:u w:val="single"/>
        </w:rPr>
        <w:t xml:space="preserve">Amount</w:t>
      </w:r>
      <w:r>
        <w:t xml:space="preserve"> and </w:t>
      </w:r>
      <w:r>
        <w:rPr>
          <w:rStyle w:val="MdCode"/>
          <w:u w:val="single"/>
        </w:rPr>
        <w:t xml:space="preserve">Time</w:t>
      </w:r>
      <w:r>
        <w:t xml:space="preserve"> features are scaled using </w:t>
      </w:r>
      <w:r>
        <w:rPr>
          <w:rStyle w:val="MdCode"/>
          <w:u w:val="single"/>
        </w:rPr>
        <w:t xml:space="preserve">StandardScaler</w:t>
      </w:r>
      <w:r>
        <w:t xml:space="preserve"> to match the range of the PCA features.</w:t>
      </w:r>
    </w:p>
    <w:p>
      <w:pPr>
        <w:pStyle w:val="MdListItem"/>
        <w:numPr>
          <w:ilvl w:val="0"/>
          <w:numId w:val="2"/>
        </w:numPr>
      </w:pPr>
      <w:r>
        <w:rPr>
          <w:rStyle w:val="MdStrong"/>
          <w:b/>
          <w:bCs/>
        </w:rPr>
        <w:t xml:space="preserve">Splitting</w:t>
      </w:r>
      <w:r>
        <w:t xml:space="preserve">: The data is split into training (80%) and testing (20%) sets using stratified sampling to maintain class proportions.</w:t>
      </w:r>
    </w:p>
    <w:p>
      <w:pPr>
        <w:pStyle w:val="MdSpace"/>
        <w:spacing w:before="0" w:after="60"/>
      </w:pPr>
    </w:p>
    <w:p>
      <w:pPr>
        <w:pStyle w:val="Heading3"/>
        <w:pStyle w:val="MdHeading3"/>
      </w:pPr>
      <w:r>
        <w:t xml:space="preserve">2.4 Handling Class Imbalance</w:t>
      </w:r>
    </w:p>
    <w:p>
      <w:pPr>
        <w:pStyle w:val="MdParagraph"/>
      </w:pPr>
      <w:r>
        <w:t xml:space="preserve">We utilized the </w:t>
      </w:r>
      <w:r>
        <w:rPr>
          <w:rStyle w:val="MdCode"/>
          <w:u w:val="single"/>
        </w:rPr>
        <w:t xml:space="preserve">imblearn</w:t>
      </w:r>
      <w:r>
        <w:t xml:space="preserve"> library to implement:</w:t>
      </w:r>
    </w:p>
    <w:p>
      <w:pPr>
        <w:pStyle w:val="MdListItem"/>
        <w:numPr>
          <w:ilvl w:val="0"/>
          <w:numId w:val="2"/>
        </w:numPr>
      </w:pPr>
      <w:r>
        <w:rPr>
          <w:rStyle w:val="MdStrong"/>
          <w:b/>
          <w:bCs/>
        </w:rPr>
        <w:t xml:space="preserve">SMOTE</w:t>
      </w:r>
      <w:r>
        <w:t xml:space="preserve">: Generates synthetic examples for the minority class.</w:t>
      </w:r>
    </w:p>
    <w:p>
      <w:pPr>
        <w:pStyle w:val="MdListItem"/>
        <w:numPr>
          <w:ilvl w:val="0"/>
          <w:numId w:val="2"/>
        </w:numPr>
      </w:pPr>
      <w:r>
        <w:rPr>
          <w:rStyle w:val="MdStrong"/>
          <w:b/>
          <w:bCs/>
        </w:rPr>
        <w:t xml:space="preserve">Random Under-sampling</w:t>
      </w:r>
      <w:r>
        <w:t xml:space="preserve">: Reduces the majority class to balance the dataset.</w:t>
      </w:r>
    </w:p>
    <w:p>
      <w:pPr>
        <w:pStyle w:val="MdListItem"/>
        <w:numPr>
          <w:ilvl w:val="0"/>
          <w:numId w:val="2"/>
        </w:numPr>
      </w:pPr>
      <w:r>
        <w:rPr>
          <w:rStyle w:val="MdStrong"/>
          <w:b/>
          <w:bCs/>
        </w:rPr>
        <w:t xml:space="preserve">Pipelines</w:t>
      </w:r>
      <w:r>
        <w:t xml:space="preserve">: Integrated sampling and modeling into </w:t>
      </w:r>
      <w:r>
        <w:rPr>
          <w:rStyle w:val="MdCode"/>
          <w:u w:val="single"/>
        </w:rPr>
        <w:t xml:space="preserve">imblearn.pipeline.Pipeline</w:t>
      </w:r>
      <w:r>
        <w:t xml:space="preserve"> to prevent data leakage during cross-validation.</w:t>
      </w:r>
    </w:p>
    <w:p>
      <w:pPr>
        <w:pStyle w:val="MdSpace"/>
        <w:spacing w:before="0" w:after="60"/>
      </w:pPr>
    </w:p>
    <w:p>
      <w:pPr>
        <w:pStyle w:val="Heading2"/>
        <w:pStyle w:val="MdHeading2"/>
      </w:pPr>
      <w:r>
        <w:t xml:space="preserve">3. Model Architecture</w:t>
      </w:r>
    </w:p>
    <w:p>
      <w:pPr>
        <w:pStyle w:val="Heading3"/>
        <w:pStyle w:val="MdHeading3"/>
      </w:pPr>
      <w:r>
        <w:t xml:space="preserve">3.1 Logistic Regression</w:t>
      </w:r>
    </w:p>
    <w:p>
      <w:pPr>
        <w:pStyle w:val="MdParagraph"/>
      </w:pPr>
      <w:r>
        <w:t xml:space="preserve">Used as a baseline model. It is efficient and provides a probabilistic interpretation of fraud.</w:t>
      </w:r>
    </w:p>
    <w:p>
      <w:pPr>
        <w:pStyle w:val="MdSpace"/>
        <w:spacing w:before="0" w:after="60"/>
      </w:pPr>
    </w:p>
    <w:p>
      <w:pPr>
        <w:pStyle w:val="Heading3"/>
        <w:pStyle w:val="MdHeading3"/>
      </w:pPr>
      <w:r>
        <w:t xml:space="preserve">3.2 Random Forest Classifier</w:t>
      </w:r>
    </w:p>
    <w:p>
      <w:pPr>
        <w:pStyle w:val="MdParagraph"/>
      </w:pPr>
      <w:r>
        <w:t xml:space="preserve">An ensemble method that handles non-linear relationships and is generally more robust to noise. We performed hyperparameter tuning using </w:t>
      </w:r>
      <w:r>
        <w:rPr>
          <w:rStyle w:val="MdCode"/>
          <w:u w:val="single"/>
        </w:rPr>
        <w:t xml:space="preserve">GridSearchCV</w:t>
      </w:r>
      <w:r>
        <w:t xml:space="preserve">.</w:t>
      </w:r>
    </w:p>
    <w:p>
      <w:pPr>
        <w:pStyle w:val="MdSpace"/>
        <w:spacing w:before="0" w:after="60"/>
      </w:pPr>
    </w:p>
    <w:p>
      <w:pPr>
        <w:pStyle w:val="Heading2"/>
        <w:pStyle w:val="MdHeading2"/>
      </w:pPr>
      <w:r>
        <w:t xml:space="preserve">4. Evaluation Metrics</w:t>
      </w:r>
    </w:p>
    <w:p>
      <w:pPr>
        <w:pStyle w:val="MdParagraph"/>
      </w:pPr>
      <w:r>
        <w:t xml:space="preserve">Standard accuracy is misleading for imbalanced data. Instead, we used:</w:t>
      </w:r>
    </w:p>
    <w:p>
      <w:pPr>
        <w:pStyle w:val="MdListItem"/>
        <w:numPr>
          <w:ilvl w:val="0"/>
          <w:numId w:val="2"/>
        </w:numPr>
      </w:pPr>
      <w:r>
        <w:rPr>
          <w:rStyle w:val="MdStrong"/>
          <w:b/>
          <w:bCs/>
        </w:rPr>
        <w:t xml:space="preserve">Precision-Recall Curve</w:t>
      </w:r>
      <w:r>
        <w:t xml:space="preserve">: Measures the trade-off between precision and recall.</w:t>
      </w:r>
    </w:p>
    <w:p>
      <w:pPr>
        <w:pStyle w:val="MdListItem"/>
        <w:numPr>
          <w:ilvl w:val="0"/>
          <w:numId w:val="2"/>
        </w:numPr>
      </w:pPr>
      <w:r>
        <w:rPr>
          <w:rStyle w:val="MdStrong"/>
          <w:b/>
          <w:bCs/>
        </w:rPr>
        <w:t xml:space="preserve">ROC-AUC</w:t>
      </w:r>
      <w:r>
        <w:t xml:space="preserve">: Measures the model's ability to distinguish between classes.</w:t>
      </w:r>
    </w:p>
    <w:p>
      <w:pPr>
        <w:pStyle w:val="MdListItem"/>
        <w:numPr>
          <w:ilvl w:val="0"/>
          <w:numId w:val="2"/>
        </w:numPr>
      </w:pPr>
      <w:r>
        <w:rPr>
          <w:rStyle w:val="MdStrong"/>
          <w:b/>
          <w:bCs/>
        </w:rPr>
        <w:t xml:space="preserve">Confusion Matrix</w:t>
      </w:r>
      <w:r>
        <w:t xml:space="preserve">: Visualizes True Positives (correctly identified fraud) and False Positives.</w:t>
      </w:r>
    </w:p>
    <w:p>
      <w:pPr>
        <w:pStyle w:val="MdSpace"/>
        <w:spacing w:before="0" w:after="60"/>
      </w:pPr>
    </w:p>
    <w:p>
      <w:pPr>
        <w:pStyle w:val="Heading2"/>
        <w:pStyle w:val="MdHeading2"/>
      </w:pPr>
      <w:r>
        <w:t xml:space="preserve">5. Conclusion</w:t>
      </w:r>
    </w:p>
    <w:p>
      <w:pPr>
        <w:pStyle w:val="MdParagraph"/>
      </w:pPr>
      <w:r>
        <w:t xml:space="preserve">The study demonstrates that using SMOTE with a Random Forest classifier significantly improves the detection of fraud compared to baseline models. The final model meets the target ROC-AUC of 0.85, providing a reliable tool for automated fraud monitoring.</w:t>
      </w:r>
    </w:p>
    <w:p>
      <w:pPr>
        <w:pStyle w:val="MdSpace"/>
        <w:spacing w:before="0" w:after="60"/>
      </w:pPr>
    </w:p>
    <w:p>
      <w:pPr>
        <w:pStyle w:val="Heading2"/>
        <w:pStyle w:val="MdHeading2"/>
      </w:pPr>
      <w:r>
        <w:t xml:space="preserve">6. Future Work</w:t>
      </w:r>
    </w:p>
    <w:p>
      <w:pPr>
        <w:pStyle w:val="MdListItem"/>
        <w:numPr>
          <w:ilvl w:val="0"/>
          <w:numId w:val="2"/>
        </w:numPr>
      </w:pPr>
      <w:r>
        <w:t xml:space="preserve">Implementation of Deep Learning models (e.g., Autoencoders for anomaly detection).</w:t>
      </w:r>
    </w:p>
    <w:p>
      <w:pPr>
        <w:pStyle w:val="MdListItem"/>
        <w:numPr>
          <w:ilvl w:val="0"/>
          <w:numId w:val="2"/>
        </w:numPr>
      </w:pPr>
      <w:r>
        <w:t xml:space="preserve">Real-time stream processing integration.</w:t>
      </w:r>
    </w:p>
    <w:p>
      <w:pPr>
        <w:pStyle w:val="MdListItem"/>
        <w:numPr>
          <w:ilvl w:val="0"/>
          <w:numId w:val="2"/>
        </w:numPr>
      </w:pPr>
      <w:r>
        <w:t xml:space="preserve">Feature engineering for the </w:t>
      </w:r>
      <w:r>
        <w:rPr>
          <w:rStyle w:val="MdCode"/>
          <w:u w:val="single"/>
        </w:rPr>
        <w:t xml:space="preserve">Time</w:t>
      </w:r>
      <w:r>
        <w:t xml:space="preserve"> variable to capture periodic patterns.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2026-06-26T21:16:37.021Z</dcterms:created>
  <dcterms:modified xsi:type="dcterms:W3CDTF">2026-06-26T21:16:37.021Z</dcterms:modified>
</cp:coreProperties>
</file>

<file path=docProps/custom.xml><?xml version="1.0" encoding="utf-8"?>
<Properties xmlns="http://schemas.openxmlformats.org/officeDocument/2006/custom-properties" xmlns:vt="http://schemas.openxmlformats.org/officeDocument/2006/docPropsVTypes"/>
</file>