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Release Checklist</w:t>
      </w:r>
    </w:p>
    <w:p>
      <w:r>
        <w:t xml:space="preserve">This DOCX fixture exercises the mammoth → markdown → markdown-parser path.</w:t>
      </w:r>
    </w:p>
    <w:p>
      <w:pPr>
        <w:pStyle w:val="Heading2"/>
      </w:pPr>
      <w:r>
        <w:t xml:space="preserve">Pre-flight</w:t>
      </w:r>
    </w:p>
    <w:p>
      <w:r>
        <w:t xml:space="preserve">Run the typecheck, the test suite, and the build before tagging a release.</w:t>
      </w:r>
    </w:p>
    <w:p>
      <w:pPr>
        <w:pStyle w:val="Heading2"/>
      </w:pPr>
      <w:r>
        <w:t xml:space="preserve">Smoke test</w:t>
      </w:r>
    </w:p>
    <w:p>
      <w:r>
        <w:t xml:space="preserve">Install the produced tarball into a fresh tempdir and run the local embed flow against the README.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DOCX</dc:title>
  <dc:creator>auto-embed-test-fixture</dc:creator>
  <cp:lastModifiedBy>Un-named</cp:lastModifiedBy>
  <cp:revision>1</cp:revision>
  <dcterms:created xsi:type="dcterms:W3CDTF">2026-05-30T13:13:47.843Z</dcterms:created>
  <dcterms:modified xsi:type="dcterms:W3CDTF">2026-05-30T13:13:47.844Z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