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8.png" ContentType="image/png"/>
  <Override PartName="/word/media/rId24.png" ContentType="image/png"/>
  <Override PartName="/word/media/rId30.png" ContentType="image/png"/>
  <Override PartName="/word/media/rId36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9" w:name="製程視覺分析系統整合提案"/>
    <w:p>
      <w:pPr>
        <w:pStyle w:val="Heading1"/>
      </w:pPr>
      <w:r>
        <w:rPr>
          <w:rFonts w:hint="eastAsia"/>
        </w:rPr>
        <w:t xml:space="preserve">製程視覺分析系統整合提案</w:t>
      </w:r>
    </w:p>
    <w:p>
      <w:pPr>
        <w:pStyle w:val="FirstParagraph"/>
      </w:pPr>
      <w:r>
        <w:rPr>
          <w:rFonts w:hint="eastAsia"/>
          <w:b/>
          <w:bCs/>
        </w:rPr>
        <w:t xml:space="preserve">文件編號</w:t>
      </w:r>
      <w:r>
        <w:t xml:space="preserve">: SMAI-PV-2024-001</w:t>
      </w:r>
      <w:r>
        <w:t xml:space="preserve"> </w:t>
      </w:r>
      <w:r>
        <w:rPr>
          <w:rFonts w:hint="eastAsia"/>
          <w:b/>
          <w:bCs/>
        </w:rPr>
        <w:t xml:space="preserve">版本</w:t>
      </w:r>
      <w:r>
        <w:t xml:space="preserve">: 2.0</w:t>
      </w:r>
      <w:r>
        <w:t xml:space="preserve"> </w:t>
      </w:r>
      <w:r>
        <w:rPr>
          <w:rFonts w:hint="eastAsia"/>
          <w:b/>
          <w:bCs/>
        </w:rPr>
        <w:t xml:space="preserve">日期</w:t>
      </w:r>
      <w:r>
        <w:t xml:space="preserve">: 2024-01-15</w:t>
      </w:r>
      <w:r>
        <w:t xml:space="preserve"> </w:t>
      </w:r>
      <w:r>
        <w:rPr>
          <w:rFonts w:hint="eastAsia"/>
          <w:b/>
          <w:bCs/>
        </w:rPr>
        <w:t xml:space="preserve">單位</w:t>
      </w:r>
      <w:r>
        <w:t xml:space="preserve">: </w:t>
      </w:r>
      <w:r>
        <w:rPr>
          <w:rFonts w:hint="eastAsia"/>
        </w:rPr>
        <w:t xml:space="preserve">再生廠智慧製造</w:t>
      </w:r>
    </w:p>
    <w:p>
      <w:pPr>
        <w:pStyle w:val="BlockText"/>
      </w:pPr>
      <w:r>
        <w:rPr>
          <w:rFonts w:hint="eastAsia"/>
          <w:b/>
          <w:bCs/>
        </w:rPr>
        <w:t xml:space="preserve">數據說明</w:t>
      </w:r>
      <w:r>
        <w:rPr>
          <w:rFonts w:hint="eastAsia"/>
        </w:rPr>
        <w:t xml:space="preserve">：本提案所有數據均標註來源，詳細計算公式請參閱《附錄：數據來源與計算說明》(SMAI-APP-2024-001)</w:t>
      </w:r>
    </w:p>
    <w:p>
      <w:r>
        <w:pict>
          <v:rect style="width:0;height:1.5pt" o:hralign="center" o:hrstd="t" o:hr="t"/>
        </w:pict>
      </w:r>
    </w:p>
    <w:bookmarkStart w:id="11" w:name="專案摘要"/>
    <w:p>
      <w:pPr>
        <w:pStyle w:val="Heading2"/>
      </w:pPr>
      <w:r>
        <w:t xml:space="preserve">1. </w:t>
      </w:r>
      <w:r>
        <w:rPr>
          <w:rFonts w:hint="eastAsia"/>
        </w:rPr>
        <w:t xml:space="preserve">專案摘要</w:t>
      </w:r>
    </w:p>
    <w:bookmarkStart w:id="9" w:name="專案目標"/>
    <w:p>
      <w:pPr>
        <w:pStyle w:val="Heading3"/>
      </w:pPr>
      <w:r>
        <w:t xml:space="preserve">1.1 </w:t>
      </w:r>
      <w:r>
        <w:rPr>
          <w:rFonts w:hint="eastAsia"/>
        </w:rPr>
        <w:t xml:space="preserve">專案目標</w:t>
      </w:r>
    </w:p>
    <w:p>
      <w:pPr>
        <w:pStyle w:val="FirstParagraph"/>
      </w:pPr>
      <w:r>
        <w:rPr>
          <w:rFonts w:hint="eastAsia"/>
        </w:rPr>
        <w:t xml:space="preserve">建置結合研華</w:t>
      </w:r>
      <w:r>
        <w:t xml:space="preserve"> VisionAI Edge </w:t>
      </w:r>
      <w:r>
        <w:rPr>
          <w:rFonts w:hint="eastAsia"/>
        </w:rPr>
        <w:t xml:space="preserve">與</w:t>
      </w:r>
      <w:r>
        <w:t xml:space="preserve"> Mac </w:t>
      </w:r>
      <w:r>
        <w:rPr>
          <w:rFonts w:hint="eastAsia"/>
        </w:rPr>
        <w:t xml:space="preserve">分析伺服器的製程視覺分析系統：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說明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來源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即時影像</w:t>
            </w:r>
            <w:r>
              <w:t xml:space="preserve"> AI </w:t>
            </w:r>
            <w:r>
              <w:rPr>
                <w:rFonts w:hint="eastAsia"/>
              </w:rPr>
              <w:t xml:space="preserve">推論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邊緣運算</w:t>
            </w:r>
            <w:r>
              <w:t xml:space="preserve"> &lt; 100ms</w:t>
            </w:r>
          </w:p>
        </w:tc>
        <w:tc>
          <w:tcPr/>
          <w:p>
            <w:pPr>
              <w:pStyle w:val="Compact"/>
            </w:pPr>
            <w:r>
              <w:t xml:space="preserve">POC </w:t>
            </w:r>
            <w:r>
              <w:rPr>
                <w:rFonts w:hint="eastAsia"/>
              </w:rPr>
              <w:t xml:space="preserve">實測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製程動作自動拆解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識別週期時間</w:t>
            </w:r>
          </w:p>
        </w:tc>
        <w:tc>
          <w:tcPr/>
          <w:p>
            <w:pPr>
              <w:pStyle w:val="Compact"/>
            </w:pPr>
            <w:r>
              <w:t xml:space="preserve">POC </w:t>
            </w:r>
            <w:r>
              <w:rPr>
                <w:rFonts w:hint="eastAsia"/>
              </w:rPr>
              <w:t xml:space="preserve">驗證</w:t>
            </w:r>
            <w:r>
              <w:t xml:space="preserve"> 87.3%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統計學習與趨勢預測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數據驅動改善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設計目標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與</w:t>
            </w:r>
            <w:r>
              <w:t xml:space="preserve"> WISE-IoTSuite </w:t>
            </w:r>
            <w:r>
              <w:rPr>
                <w:rFonts w:hint="eastAsia"/>
              </w:rPr>
              <w:t xml:space="preserve">整合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統一數據中台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現有平台</w:t>
            </w:r>
          </w:p>
        </w:tc>
      </w:tr>
    </w:tbl>
    <w:bookmarkEnd w:id="9"/>
    <w:bookmarkStart w:id="10" w:name="關鍵效益"/>
    <w:p>
      <w:pPr>
        <w:pStyle w:val="Heading3"/>
      </w:pPr>
      <w:r>
        <w:t xml:space="preserve">1.2 </w:t>
      </w:r>
      <w:r>
        <w:rPr>
          <w:rFonts w:hint="eastAsia"/>
        </w:rPr>
        <w:t xml:space="preserve">關鍵效益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效益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數值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計算依據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人工工時節省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現行</w:t>
            </w:r>
            <w:r>
              <w:t xml:space="preserve"> 8hr → 1.5hr </w:t>
            </w:r>
            <w:r>
              <w:rPr>
                <w:rFonts w:hint="eastAsia"/>
              </w:rPr>
              <w:t xml:space="preserve">[附錄</w:t>
            </w:r>
            <w:r>
              <w:t xml:space="preserve"> 3.1]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數據準確度提升</w:t>
            </w:r>
          </w:p>
        </w:tc>
        <w:tc>
          <w:tcPr/>
          <w:p>
            <w:pPr>
              <w:pStyle w:val="Compact"/>
            </w:pPr>
            <w:r>
              <w:t xml:space="preserve">85% → 95%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人工誤差</w:t>
            </w:r>
            <w:r>
              <w:t xml:space="preserve"> vs AI </w:t>
            </w:r>
            <w:r>
              <w:rPr>
                <w:rFonts w:hint="eastAsia"/>
              </w:rPr>
              <w:t xml:space="preserve">(保守估計)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投資回收期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約</w:t>
            </w:r>
            <w:r>
              <w:t xml:space="preserve"> 16 </w:t>
            </w:r>
            <w:r>
              <w:rPr>
                <w:rFonts w:hint="eastAsia"/>
              </w:rPr>
              <w:t xml:space="preserve">個月</w:t>
            </w:r>
          </w:p>
        </w:tc>
        <w:tc>
          <w:tcPr/>
          <w:p>
            <w:pPr>
              <w:pStyle w:val="Compact"/>
            </w:pPr>
            <w:r>
              <w:t xml:space="preserve">795K ÷ 600K × 12 </w:t>
            </w:r>
            <w:r>
              <w:rPr>
                <w:rFonts w:hint="eastAsia"/>
              </w:rPr>
              <w:t xml:space="preserve">[附錄</w:t>
            </w:r>
            <w:r>
              <w:t xml:space="preserve"> 3.5]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End w:id="11"/>
    <w:bookmarkStart w:id="17" w:name="系統架構"/>
    <w:p>
      <w:pPr>
        <w:pStyle w:val="Heading2"/>
      </w:pPr>
      <w:r>
        <w:t xml:space="preserve">2. </w:t>
      </w:r>
      <w:r>
        <w:rPr>
          <w:rFonts w:hint="eastAsia"/>
        </w:rPr>
        <w:t xml:space="preserve">系統架構</w:t>
      </w:r>
    </w:p>
    <w:bookmarkStart w:id="15" w:name="整體架構圖"/>
    <w:p>
      <w:pPr>
        <w:pStyle w:val="Heading3"/>
      </w:pPr>
      <w:r>
        <w:t xml:space="preserve">2.1 </w:t>
      </w:r>
      <w:r>
        <w:rPr>
          <w:rFonts w:hint="eastAsia"/>
        </w:rPr>
        <w:t xml:space="preserve">整體架構圖</w:t>
      </w:r>
    </w:p>
    <w:p>
      <w:pPr>
        <w:pStyle w:val="CaptionedFigure"/>
      </w:pPr>
      <w:r>
        <w:drawing>
          <wp:inline>
            <wp:extent cx="5334000" cy="3698660"/>
            <wp:effectExtent b="0" l="0" r="0" t="0"/>
            <wp:docPr descr="系統整體架構圖" title="" id="13" name="Picture"/>
            <a:graphic>
              <a:graphicData uri="http://schemas.openxmlformats.org/drawingml/2006/picture">
                <pic:pic>
                  <pic:nvPicPr>
                    <pic:cNvPr descr="diagrams/01-system-architecture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986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系統整體架構圖</w:t>
      </w:r>
    </w:p>
    <w:bookmarkEnd w:id="15"/>
    <w:bookmarkStart w:id="16" w:name="架構說明"/>
    <w:p>
      <w:pPr>
        <w:pStyle w:val="Heading3"/>
      </w:pPr>
      <w:r>
        <w:t xml:space="preserve">2.2 </w:t>
      </w:r>
      <w:r>
        <w:rPr>
          <w:rFonts w:hint="eastAsia"/>
        </w:rPr>
        <w:t xml:space="preserve">架構說明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層級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組件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現場層</w:t>
            </w:r>
          </w:p>
        </w:tc>
        <w:tc>
          <w:tcPr/>
          <w:p>
            <w:pPr>
              <w:pStyle w:val="Compact"/>
            </w:pPr>
            <w:r>
              <w:t xml:space="preserve">IPCam × 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影像擷取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邊緣層</w:t>
            </w:r>
          </w:p>
        </w:tc>
        <w:tc>
          <w:tcPr/>
          <w:p>
            <w:pPr>
              <w:pStyle w:val="Compact"/>
            </w:pPr>
            <w:r>
              <w:t xml:space="preserve">VisionAI Edge × 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即時</w:t>
            </w:r>
            <w:r>
              <w:t xml:space="preserve"> AI </w:t>
            </w:r>
            <w:r>
              <w:rPr>
                <w:rFonts w:hint="eastAsia"/>
              </w:rPr>
              <w:t xml:space="preserve">推論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平台層</w:t>
            </w:r>
          </w:p>
        </w:tc>
        <w:tc>
          <w:tcPr/>
          <w:p>
            <w:pPr>
              <w:pStyle w:val="Compact"/>
            </w:pPr>
            <w:r>
              <w:t xml:space="preserve">WISE-IoTSuite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數據整合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應用層</w:t>
            </w:r>
          </w:p>
        </w:tc>
        <w:tc>
          <w:tcPr/>
          <w:p>
            <w:pPr>
              <w:pStyle w:val="Compact"/>
            </w:pPr>
            <w:r>
              <w:t xml:space="preserve">Mac + Process Vision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分析與報表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End w:id="17"/>
    <w:bookmarkStart w:id="23" w:name="資料流設計"/>
    <w:p>
      <w:pPr>
        <w:pStyle w:val="Heading2"/>
      </w:pPr>
      <w:r>
        <w:t xml:space="preserve">3. </w:t>
      </w:r>
      <w:r>
        <w:rPr>
          <w:rFonts w:hint="eastAsia"/>
        </w:rPr>
        <w:t xml:space="preserve">資料流設計</w:t>
      </w:r>
    </w:p>
    <w:bookmarkStart w:id="21" w:name="資料流架構"/>
    <w:p>
      <w:pPr>
        <w:pStyle w:val="Heading3"/>
      </w:pPr>
      <w:r>
        <w:t xml:space="preserve">3.1 </w:t>
      </w:r>
      <w:r>
        <w:rPr>
          <w:rFonts w:hint="eastAsia"/>
        </w:rPr>
        <w:t xml:space="preserve">資料流架構</w:t>
      </w:r>
    </w:p>
    <w:p>
      <w:pPr>
        <w:pStyle w:val="CaptionedFigure"/>
      </w:pPr>
      <w:r>
        <w:drawing>
          <wp:inline>
            <wp:extent cx="5334000" cy="9573427"/>
            <wp:effectExtent b="0" l="0" r="0" t="0"/>
            <wp:docPr descr="資料流架構圖" title="" id="19" name="Picture"/>
            <a:graphic>
              <a:graphicData uri="http://schemas.openxmlformats.org/drawingml/2006/picture">
                <pic:pic>
                  <pic:nvPicPr>
                    <pic:cNvPr descr="diagrams/02-data-flow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5734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資料流架構圖</w:t>
      </w:r>
    </w:p>
    <w:bookmarkEnd w:id="21"/>
    <w:bookmarkStart w:id="22" w:name="三種資料流程"/>
    <w:p>
      <w:pPr>
        <w:pStyle w:val="Heading3"/>
      </w:pPr>
      <w:r>
        <w:t xml:space="preserve">3.2 </w:t>
      </w:r>
      <w:r>
        <w:rPr>
          <w:rFonts w:hint="eastAsia"/>
        </w:rPr>
        <w:t xml:space="preserve">三種資料流程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說明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延遲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即時分析</w:t>
            </w:r>
          </w:p>
        </w:tc>
        <w:tc>
          <w:tcPr/>
          <w:p>
            <w:pPr>
              <w:pStyle w:val="Compact"/>
            </w:pPr>
            <w:r>
              <w:t xml:space="preserve">Edge </w:t>
            </w:r>
            <w:r>
              <w:rPr>
                <w:rFonts w:hint="eastAsia"/>
              </w:rPr>
              <w:t xml:space="preserve">推論</w:t>
            </w:r>
            <w:r>
              <w:t xml:space="preserve"> → MQTT → IoTSuite</w:t>
            </w:r>
          </w:p>
        </w:tc>
        <w:tc>
          <w:tcPr/>
          <w:p>
            <w:pPr>
              <w:pStyle w:val="Compact"/>
            </w:pPr>
            <w:r>
              <w:t xml:space="preserve">&lt; 100ms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批次分析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錄影檔</w:t>
            </w:r>
            <w:r>
              <w:t xml:space="preserve"> → Mac YOLO → </w:t>
            </w:r>
            <w:r>
              <w:rPr>
                <w:rFonts w:hint="eastAsia"/>
              </w:rPr>
              <w:t xml:space="preserve">結果</w:t>
            </w:r>
          </w:p>
        </w:tc>
        <w:tc>
          <w:tcPr/>
          <w:p>
            <w:pPr>
              <w:pStyle w:val="Compact"/>
            </w:pPr>
            <w:r>
              <w:t xml:space="preserve">3-10x </w:t>
            </w:r>
            <w:r>
              <w:rPr>
                <w:rFonts w:hint="eastAsia"/>
              </w:rPr>
              <w:t xml:space="preserve">實時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學習統計</w:t>
            </w:r>
          </w:p>
        </w:tc>
        <w:tc>
          <w:tcPr/>
          <w:p>
            <w:pPr>
              <w:pStyle w:val="Compact"/>
            </w:pPr>
            <w:r>
              <w:t xml:space="preserve">DataInsight ETL → </w:t>
            </w:r>
            <w:r>
              <w:rPr>
                <w:rFonts w:hint="eastAsia"/>
              </w:rPr>
              <w:t xml:space="preserve">主題</w:t>
            </w:r>
            <w:r>
              <w:t xml:space="preserve"> DB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批次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End w:id="23"/>
    <w:bookmarkStart w:id="29" w:name="整合架構"/>
    <w:p>
      <w:pPr>
        <w:pStyle w:val="Heading2"/>
      </w:pPr>
      <w:r>
        <w:t xml:space="preserve">4. </w:t>
      </w:r>
      <w:r>
        <w:rPr>
          <w:rFonts w:hint="eastAsia"/>
        </w:rPr>
        <w:t xml:space="preserve">整合架構</w:t>
      </w:r>
    </w:p>
    <w:bookmarkStart w:id="27" w:name="wise-iotsuite-整合"/>
    <w:p>
      <w:pPr>
        <w:pStyle w:val="Heading3"/>
      </w:pPr>
      <w:r>
        <w:t xml:space="preserve">4.1 WISE-IoTSuite </w:t>
      </w:r>
      <w:r>
        <w:rPr>
          <w:rFonts w:hint="eastAsia"/>
        </w:rPr>
        <w:t xml:space="preserve">整合</w:t>
      </w:r>
    </w:p>
    <w:p>
      <w:pPr>
        <w:pStyle w:val="CaptionedFigure"/>
      </w:pPr>
      <w:r>
        <w:drawing>
          <wp:inline>
            <wp:extent cx="5334000" cy="6716310"/>
            <wp:effectExtent b="0" l="0" r="0" t="0"/>
            <wp:docPr descr="整合架構圖" title="" id="25" name="Picture"/>
            <a:graphic>
              <a:graphicData uri="http://schemas.openxmlformats.org/drawingml/2006/picture">
                <pic:pic>
                  <pic:nvPicPr>
                    <pic:cNvPr descr="diagrams/03-integration-architectur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7163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整合架構圖</w:t>
      </w:r>
    </w:p>
    <w:bookmarkEnd w:id="27"/>
    <w:bookmarkStart w:id="28" w:name="datainsight-整合價值"/>
    <w:p>
      <w:pPr>
        <w:pStyle w:val="Heading3"/>
      </w:pPr>
      <w:r>
        <w:t xml:space="preserve">4.2 DataInsight </w:t>
      </w:r>
      <w:r>
        <w:rPr>
          <w:rFonts w:hint="eastAsia"/>
        </w:rPr>
        <w:t xml:space="preserve">整合價值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沒有</w:t>
            </w:r>
            <w:r>
              <w:t xml:space="preserve"> DataInsight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  <w:r>
              <w:t xml:space="preserve"> DataInsight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需自行開發</w:t>
            </w:r>
            <w:r>
              <w:t xml:space="preserve"> ETL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低代碼配置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各系統數據分散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統一</w:t>
            </w:r>
            <w:r>
              <w:t xml:space="preserve"> SQL </w:t>
            </w:r>
            <w:r>
              <w:rPr>
                <w:rFonts w:hint="eastAsia"/>
              </w:rPr>
              <w:t xml:space="preserve">查詢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開發維護成本高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研華統一維護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建議</w:t>
      </w:r>
      <w:r>
        <w:rPr>
          <w:rFonts w:hint="eastAsia"/>
        </w:rPr>
        <w:t xml:space="preserve">：加購</w:t>
      </w:r>
      <w:r>
        <w:t xml:space="preserve"> DataInsight </w:t>
      </w:r>
      <w:r>
        <w:rPr>
          <w:rFonts w:hint="eastAsia"/>
        </w:rPr>
        <w:t xml:space="preserve">以降低整合開發成本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5" w:name="visionai-edge-詳細架構"/>
    <w:p>
      <w:pPr>
        <w:pStyle w:val="Heading2"/>
      </w:pPr>
      <w:r>
        <w:t xml:space="preserve">5. VisionAI Edge </w:t>
      </w:r>
      <w:r>
        <w:rPr>
          <w:rFonts w:hint="eastAsia"/>
        </w:rPr>
        <w:t xml:space="preserve">詳細架構</w:t>
      </w:r>
    </w:p>
    <w:bookmarkStart w:id="33" w:name="edge-處理流程"/>
    <w:p>
      <w:pPr>
        <w:pStyle w:val="Heading3"/>
      </w:pPr>
      <w:r>
        <w:t xml:space="preserve">5.1 Edge </w:t>
      </w:r>
      <w:r>
        <w:rPr>
          <w:rFonts w:hint="eastAsia"/>
        </w:rPr>
        <w:t xml:space="preserve">處理流程</w:t>
      </w:r>
    </w:p>
    <w:p>
      <w:pPr>
        <w:pStyle w:val="CaptionedFigure"/>
      </w:pPr>
      <w:r>
        <w:drawing>
          <wp:inline>
            <wp:extent cx="5334000" cy="5541233"/>
            <wp:effectExtent b="0" l="0" r="0" t="0"/>
            <wp:docPr descr="VisionAI Edge 詳細架構" title="" id="31" name="Picture"/>
            <a:graphic>
              <a:graphicData uri="http://schemas.openxmlformats.org/drawingml/2006/picture">
                <pic:pic>
                  <pic:nvPicPr>
                    <pic:cNvPr descr="diagrams/04-edge-detail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5412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VisionAI Edge </w:t>
      </w:r>
      <w:r>
        <w:rPr>
          <w:rFonts w:hint="eastAsia"/>
        </w:rPr>
        <w:t xml:space="preserve">詳細架構</w:t>
      </w:r>
    </w:p>
    <w:bookmarkEnd w:id="33"/>
    <w:bookmarkStart w:id="34" w:name="edge-設備規格"/>
    <w:p>
      <w:pPr>
        <w:pStyle w:val="Heading3"/>
      </w:pPr>
      <w:r>
        <w:t xml:space="preserve">5.2 Edge </w:t>
      </w:r>
      <w:r>
        <w:rPr>
          <w:rFonts w:hint="eastAsia"/>
        </w:rPr>
        <w:t xml:space="preserve">設備規格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型號</w:t>
            </w:r>
          </w:p>
        </w:tc>
        <w:tc>
          <w:tcPr/>
          <w:p>
            <w:pPr>
              <w:pStyle w:val="Compact"/>
            </w:pPr>
            <w:r>
              <w:t xml:space="preserve">GPU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處理能力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適用場景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規格來源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MIC-730AI</w:t>
            </w:r>
          </w:p>
        </w:tc>
        <w:tc>
          <w:tcPr/>
          <w:p>
            <w:pPr>
              <w:pStyle w:val="Compact"/>
            </w:pPr>
            <w:r>
              <w:t xml:space="preserve">AGX Xavier 512 CUDA</w:t>
            </w:r>
          </w:p>
        </w:tc>
        <w:tc>
          <w:tcPr/>
          <w:p>
            <w:pPr>
              <w:pStyle w:val="Compact"/>
            </w:pPr>
            <w:r>
              <w:t xml:space="preserve">6-8 </w:t>
            </w:r>
            <w:r>
              <w:rPr>
                <w:rFonts w:hint="eastAsia"/>
              </w:rPr>
              <w:t xml:space="preserve">路</w:t>
            </w:r>
            <w:r>
              <w:t xml:space="preserve"> 1080p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關鍵工站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研華官網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MIC-720AI</w:t>
            </w:r>
          </w:p>
        </w:tc>
        <w:tc>
          <w:tcPr/>
          <w:p>
            <w:pPr>
              <w:pStyle w:val="Compact"/>
            </w:pPr>
            <w:r>
              <w:t xml:space="preserve">Xavier NX 384 CUDA</w:t>
            </w:r>
          </w:p>
        </w:tc>
        <w:tc>
          <w:tcPr/>
          <w:p>
            <w:pPr>
              <w:pStyle w:val="Compact"/>
            </w:pPr>
            <w:r>
              <w:t xml:space="preserve">3-4 </w:t>
            </w:r>
            <w:r>
              <w:rPr>
                <w:rFonts w:hint="eastAsia"/>
              </w:rPr>
              <w:t xml:space="preserve">路</w:t>
            </w:r>
            <w:r>
              <w:t xml:space="preserve"> 1080p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一般工站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研華官網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處理能力基於</w:t>
      </w:r>
      <w:r>
        <w:t xml:space="preserve"> YOLO11n </w:t>
      </w:r>
      <w:r>
        <w:rPr>
          <w:rFonts w:hint="eastAsia"/>
        </w:rPr>
        <w:t xml:space="preserve">模型</w:t>
      </w:r>
      <w:r>
        <w:t xml:space="preserve"> 1080p@30fps </w:t>
      </w:r>
      <w:r>
        <w:rPr>
          <w:rFonts w:hint="eastAsia"/>
        </w:rPr>
        <w:t xml:space="preserve">推論，實際值依模型複雜度調整</w:t>
      </w:r>
      <w:r>
        <w:t xml:space="preserve"> </w:t>
      </w:r>
      <w:r>
        <w:rPr>
          <w:rFonts w:hint="eastAsia"/>
        </w:rPr>
        <w:t xml:space="preserve">[附錄</w:t>
      </w:r>
      <w:r>
        <w:t xml:space="preserve"> 1.1]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1" w:name="分析流程"/>
    <w:p>
      <w:pPr>
        <w:pStyle w:val="Heading2"/>
      </w:pPr>
      <w:r>
        <w:t xml:space="preserve">6. </w:t>
      </w:r>
      <w:r>
        <w:rPr>
          <w:rFonts w:hint="eastAsia"/>
        </w:rPr>
        <w:t xml:space="preserve">分析流程</w:t>
      </w:r>
    </w:p>
    <w:bookmarkStart w:id="39" w:name="製程分析流程圖"/>
    <w:p>
      <w:pPr>
        <w:pStyle w:val="Heading3"/>
      </w:pPr>
      <w:r>
        <w:t xml:space="preserve">6.1 </w:t>
      </w:r>
      <w:r>
        <w:rPr>
          <w:rFonts w:hint="eastAsia"/>
        </w:rPr>
        <w:t xml:space="preserve">製程分析流程圖</w:t>
      </w:r>
    </w:p>
    <w:p>
      <w:pPr>
        <w:pStyle w:val="CaptionedFigure"/>
      </w:pPr>
      <w:r>
        <w:drawing>
          <wp:inline>
            <wp:extent cx="5334000" cy="412382"/>
            <wp:effectExtent b="0" l="0" r="0" t="0"/>
            <wp:docPr descr="分析流程圖" title="" id="37" name="Picture"/>
            <a:graphic>
              <a:graphicData uri="http://schemas.openxmlformats.org/drawingml/2006/picture">
                <pic:pic>
                  <pic:nvPicPr>
                    <pic:cNvPr descr="diagrams/05-analysis-flow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3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分析流程圖</w:t>
      </w:r>
    </w:p>
    <w:bookmarkEnd w:id="39"/>
    <w:bookmarkStart w:id="40" w:name="分析功能"/>
    <w:p>
      <w:pPr>
        <w:pStyle w:val="Heading3"/>
      </w:pPr>
      <w:r>
        <w:t xml:space="preserve">6.2 </w:t>
      </w:r>
      <w:r>
        <w:rPr>
          <w:rFonts w:hint="eastAsia"/>
        </w:rPr>
        <w:t xml:space="preserve">分析功能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說明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自動分段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識別取料/組裝/檢查等動作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時間軸編輯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拖拉調整分段邊界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學習統計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計算平均值、標準差、趨勢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改善建議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自動建議標準時間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"/>
    <w:bookmarkEnd w:id="41"/>
    <w:bookmarkStart w:id="47" w:name="硬體選型"/>
    <w:p>
      <w:pPr>
        <w:pStyle w:val="Heading2"/>
      </w:pPr>
      <w:r>
        <w:t xml:space="preserve">7. </w:t>
      </w:r>
      <w:r>
        <w:rPr>
          <w:rFonts w:hint="eastAsia"/>
        </w:rPr>
        <w:t xml:space="preserve">硬體選型</w:t>
      </w:r>
    </w:p>
    <w:bookmarkStart w:id="45" w:name="設備比較"/>
    <w:p>
      <w:pPr>
        <w:pStyle w:val="Heading3"/>
      </w:pPr>
      <w:r>
        <w:t xml:space="preserve">7.1 </w:t>
      </w:r>
      <w:r>
        <w:rPr>
          <w:rFonts w:hint="eastAsia"/>
        </w:rPr>
        <w:t xml:space="preserve">設備比較</w:t>
      </w:r>
    </w:p>
    <w:p>
      <w:pPr>
        <w:pStyle w:val="CaptionedFigure"/>
      </w:pPr>
      <w:r>
        <w:drawing>
          <wp:inline>
            <wp:extent cx="5334000" cy="1702915"/>
            <wp:effectExtent b="0" l="0" r="0" t="0"/>
            <wp:docPr descr="硬體設備比較" title="" id="43" name="Picture"/>
            <a:graphic>
              <a:graphicData uri="http://schemas.openxmlformats.org/drawingml/2006/picture">
                <pic:pic>
                  <pic:nvPicPr>
                    <pic:cNvPr descr="diagrams/06-hardware-comparison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029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硬體設備比較</w:t>
      </w:r>
    </w:p>
    <w:bookmarkEnd w:id="45"/>
    <w:bookmarkStart w:id="46" w:name="推薦配置方案-a"/>
    <w:p>
      <w:pPr>
        <w:pStyle w:val="Heading3"/>
      </w:pPr>
      <w:r>
        <w:t xml:space="preserve">7.2 </w:t>
      </w:r>
      <w:r>
        <w:rPr>
          <w:rFonts w:hint="eastAsia"/>
        </w:rPr>
        <w:t xml:space="preserve">推薦配置（方案</w:t>
      </w:r>
      <w:r>
        <w:t xml:space="preserve"> </w:t>
      </w:r>
      <w:r>
        <w:rPr>
          <w:rFonts w:hint="eastAsia"/>
        </w:rPr>
        <w:t xml:space="preserve">A）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1218"/>
        <w:gridCol w:w="1218"/>
        <w:gridCol w:w="1218"/>
        <w:gridCol w:w="1218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規格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數量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單價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價格來源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VisionAI Edge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MIC-730AI</w:t>
            </w:r>
          </w:p>
        </w:tc>
        <w:tc>
          <w:tcPr/>
          <w:p>
            <w:pPr>
              <w:pStyle w:val="Compact"/>
            </w:pPr>
            <w:r>
              <w:t xml:space="preserve">Jetson AGX Xavier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NT$150,000</w:t>
            </w:r>
          </w:p>
        </w:tc>
        <w:tc>
          <w:tcPr/>
          <w:p>
            <w:pPr>
              <w:pStyle w:val="Compact"/>
            </w:pPr>
            <w:r>
              <w:t xml:space="preserve">NT$300,000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研華報價</w:t>
            </w:r>
            <w:r>
              <w:t xml:space="preserve"> 2024-01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MIC-720AI</w:t>
            </w:r>
          </w:p>
        </w:tc>
        <w:tc>
          <w:tcPr/>
          <w:p>
            <w:pPr>
              <w:pStyle w:val="Compact"/>
            </w:pPr>
            <w:r>
              <w:t xml:space="preserve">Jetson Xavier NX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NT$80,000</w:t>
            </w:r>
          </w:p>
        </w:tc>
        <w:tc>
          <w:tcPr/>
          <w:p>
            <w:pPr>
              <w:pStyle w:val="Compact"/>
            </w:pPr>
            <w:r>
              <w:t xml:space="preserve">NT$320,000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研華報價</w:t>
            </w:r>
            <w:r>
              <w:t xml:space="preserve"> 2024-01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Mac </w:t>
            </w:r>
            <w:r>
              <w:rPr>
                <w:rFonts w:hint="eastAsia"/>
                <w:b/>
                <w:bCs/>
              </w:rPr>
              <w:t xml:space="preserve">伺服器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Mac Studio M2 Max</w:t>
            </w:r>
          </w:p>
        </w:tc>
        <w:tc>
          <w:tcPr/>
          <w:p>
            <w:pPr>
              <w:pStyle w:val="Compact"/>
            </w:pPr>
            <w:r>
              <w:t xml:space="preserve">64GB RAM, 1TB SSD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NT$100,000</w:t>
            </w:r>
          </w:p>
        </w:tc>
        <w:tc>
          <w:tcPr/>
          <w:p>
            <w:pPr>
              <w:pStyle w:val="Compact"/>
            </w:pPr>
            <w:r>
              <w:t xml:space="preserve">NT$100,000</w:t>
            </w:r>
          </w:p>
        </w:tc>
        <w:tc>
          <w:tcPr/>
          <w:p>
            <w:pPr>
              <w:pStyle w:val="Compact"/>
            </w:pPr>
            <w:r>
              <w:t xml:space="preserve">Apple </w:t>
            </w:r>
            <w:r>
              <w:rPr>
                <w:rFonts w:hint="eastAsia"/>
              </w:rPr>
              <w:t xml:space="preserve">官網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周邊設備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PoE </w:t>
            </w:r>
            <w:r>
              <w:rPr>
                <w:rFonts w:hint="eastAsia"/>
              </w:rPr>
              <w:t xml:space="preserve">交換機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工業級</w:t>
            </w:r>
            <w:r>
              <w:t xml:space="preserve"> 24 Port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NT$25,000</w:t>
            </w:r>
          </w:p>
        </w:tc>
        <w:tc>
          <w:tcPr/>
          <w:p>
            <w:pPr>
              <w:pStyle w:val="Compact"/>
            </w:pPr>
            <w:r>
              <w:t xml:space="preserve">NT$25,000</w:t>
            </w:r>
          </w:p>
        </w:tc>
        <w:tc>
          <w:tcPr/>
          <w:p>
            <w:pPr>
              <w:pStyle w:val="Compact"/>
            </w:pPr>
            <w:r>
              <w:t xml:space="preserve">PChome 2024-01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NAS</w:t>
            </w:r>
          </w:p>
        </w:tc>
        <w:tc>
          <w:tcPr/>
          <w:p>
            <w:pPr>
              <w:pStyle w:val="Compact"/>
            </w:pPr>
            <w:r>
              <w:t xml:space="preserve">4-Bay 16TB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NT$30,000</w:t>
            </w:r>
          </w:p>
        </w:tc>
        <w:tc>
          <w:tcPr/>
          <w:p>
            <w:pPr>
              <w:pStyle w:val="Compact"/>
            </w:pPr>
            <w:r>
              <w:t xml:space="preserve">NT$30,000</w:t>
            </w:r>
          </w:p>
        </w:tc>
        <w:tc>
          <w:tcPr/>
          <w:p>
            <w:pPr>
              <w:pStyle w:val="Compact"/>
            </w:pPr>
            <w:r>
              <w:t xml:space="preserve">PChome 2024-01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UPS</w:t>
            </w:r>
          </w:p>
        </w:tc>
        <w:tc>
          <w:tcPr/>
          <w:p>
            <w:pPr>
              <w:pStyle w:val="Compact"/>
            </w:pPr>
            <w:r>
              <w:t xml:space="preserve">3000VA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NT$20,000</w:t>
            </w:r>
          </w:p>
        </w:tc>
        <w:tc>
          <w:tcPr/>
          <w:p>
            <w:pPr>
              <w:pStyle w:val="Compact"/>
            </w:pPr>
            <w:r>
              <w:t xml:space="preserve">NT$20,000</w:t>
            </w:r>
          </w:p>
        </w:tc>
        <w:tc>
          <w:tcPr/>
          <w:p>
            <w:pPr>
              <w:pStyle w:val="Compact"/>
            </w:pPr>
            <w:r>
              <w:t xml:space="preserve">PChome 2024-01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NT$795,000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詳見</w:t>
            </w:r>
            <w:r>
              <w:t xml:space="preserve"> </w:t>
            </w:r>
            <w:r>
              <w:rPr>
                <w:rFonts w:hint="eastAsia"/>
              </w:rPr>
              <w:t xml:space="preserve">[附錄</w:t>
            </w:r>
            <w:r>
              <w:t xml:space="preserve"> 2]</w:t>
            </w:r>
          </w:p>
        </w:tc>
      </w:tr>
    </w:tbl>
    <w:p>
      <w:pPr>
        <w:pStyle w:val="BodyText"/>
      </w:pPr>
      <w:r>
        <w:rPr>
          <w:b/>
          <w:bCs/>
        </w:rPr>
        <w:t xml:space="preserve">Edge </w:t>
      </w:r>
      <w:r>
        <w:rPr>
          <w:rFonts w:hint="eastAsia"/>
          <w:b/>
          <w:bCs/>
        </w:rPr>
        <w:t xml:space="preserve">數量計算依據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  <w:rFonts w:hint="eastAsia"/>
        </w:rPr>
        <w:t xml:space="preserve">攝影機總數</w:t>
      </w:r>
      <w:r>
        <w:rPr>
          <w:rStyle w:val="VerbatimChar"/>
        </w:rPr>
        <w:t xml:space="preserve"> = 20 </w:t>
      </w:r>
      <w:r>
        <w:rPr>
          <w:rStyle w:val="VerbatimChar"/>
          <w:rFonts w:hint="eastAsia"/>
        </w:rPr>
        <w:t xml:space="preserve">台</w:t>
      </w:r>
      <w:r>
        <w:br/>
      </w:r>
      <w:r>
        <w:rPr>
          <w:rStyle w:val="VerbatimChar"/>
        </w:rPr>
        <w:t xml:space="preserve">MIC-730AI </w:t>
      </w:r>
      <w:r>
        <w:rPr>
          <w:rStyle w:val="VerbatimChar"/>
          <w:rFonts w:hint="eastAsia"/>
        </w:rPr>
        <w:t xml:space="preserve">處理能力</w:t>
      </w:r>
      <w:r>
        <w:rPr>
          <w:rStyle w:val="VerbatimChar"/>
        </w:rPr>
        <w:t xml:space="preserve"> = 6 </w:t>
      </w:r>
      <w:r>
        <w:rPr>
          <w:rStyle w:val="VerbatimChar"/>
          <w:rFonts w:hint="eastAsia"/>
        </w:rPr>
        <w:t xml:space="preserve">路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(保守值)</w:t>
      </w:r>
      <w:r>
        <w:br/>
      </w:r>
      <w:r>
        <w:rPr>
          <w:rStyle w:val="VerbatimChar"/>
        </w:rPr>
        <w:t xml:space="preserve">MIC-720AI </w:t>
      </w:r>
      <w:r>
        <w:rPr>
          <w:rStyle w:val="VerbatimChar"/>
          <w:rFonts w:hint="eastAsia"/>
        </w:rPr>
        <w:t xml:space="preserve">處理能力</w:t>
      </w:r>
      <w:r>
        <w:rPr>
          <w:rStyle w:val="VerbatimChar"/>
        </w:rPr>
        <w:t xml:space="preserve"> = 3 </w:t>
      </w:r>
      <w:r>
        <w:rPr>
          <w:rStyle w:val="VerbatimChar"/>
          <w:rFonts w:hint="eastAsia"/>
        </w:rPr>
        <w:t xml:space="preserve">路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(保守值)</w:t>
      </w:r>
      <w:r>
        <w:br/>
      </w:r>
      <w:r>
        <w:br/>
      </w:r>
      <w:r>
        <w:rPr>
          <w:rStyle w:val="VerbatimChar"/>
          <w:rFonts w:hint="eastAsia"/>
        </w:rPr>
        <w:t xml:space="preserve">配置方案：</w:t>
      </w:r>
      <w:r>
        <w:br/>
      </w:r>
      <w:r>
        <w:rPr>
          <w:rStyle w:val="VerbatimChar"/>
        </w:rPr>
        <w:t xml:space="preserve">- MIC-730AI × 2 = 12 </w:t>
      </w:r>
      <w:r>
        <w:rPr>
          <w:rStyle w:val="VerbatimChar"/>
          <w:rFonts w:hint="eastAsia"/>
        </w:rPr>
        <w:t xml:space="preserve">路</w:t>
      </w:r>
      <w:r>
        <w:br/>
      </w:r>
      <w:r>
        <w:rPr>
          <w:rStyle w:val="VerbatimChar"/>
        </w:rPr>
        <w:t xml:space="preserve">- MIC-720AI × 4 = 12 </w:t>
      </w:r>
      <w:r>
        <w:rPr>
          <w:rStyle w:val="VerbatimChar"/>
          <w:rFonts w:hint="eastAsia"/>
        </w:rPr>
        <w:t xml:space="preserve">路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總處理能力</w:t>
      </w:r>
      <w:r>
        <w:rPr>
          <w:rStyle w:val="VerbatimChar"/>
        </w:rPr>
        <w:t xml:space="preserve"> = 24 </w:t>
      </w:r>
      <w:r>
        <w:rPr>
          <w:rStyle w:val="VerbatimChar"/>
          <w:rFonts w:hint="eastAsia"/>
        </w:rPr>
        <w:t xml:space="preserve">路</w:t>
      </w:r>
      <w:r>
        <w:rPr>
          <w:rStyle w:val="VerbatimChar"/>
        </w:rPr>
        <w:t xml:space="preserve"> &gt; 20 </w:t>
      </w:r>
      <w:r>
        <w:rPr>
          <w:rStyle w:val="VerbatimChar"/>
          <w:rFonts w:hint="eastAsia"/>
        </w:rPr>
        <w:t xml:space="preserve">路</w:t>
      </w:r>
      <w:r>
        <w:rPr>
          <w:rStyle w:val="VerbatimChar"/>
        </w:rPr>
        <w:t xml:space="preserve"> ✓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預留擴充</w:t>
      </w:r>
      <w:r>
        <w:rPr>
          <w:rStyle w:val="VerbatimChar"/>
        </w:rPr>
        <w:t xml:space="preserve"> = 4 </w:t>
      </w:r>
      <w:r>
        <w:rPr>
          <w:rStyle w:val="VerbatimChar"/>
          <w:rFonts w:hint="eastAsia"/>
        </w:rPr>
        <w:t xml:space="preserve">路</w:t>
      </w:r>
      <w:r>
        <w:rPr>
          <w:rStyle w:val="VerbatimChar"/>
        </w:rPr>
        <w:t xml:space="preserve"> (20%)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1" w:name="預算與效益"/>
    <w:p>
      <w:pPr>
        <w:pStyle w:val="Heading2"/>
      </w:pPr>
      <w:r>
        <w:t xml:space="preserve">8. </w:t>
      </w:r>
      <w:r>
        <w:rPr>
          <w:rFonts w:hint="eastAsia"/>
        </w:rPr>
        <w:t xml:space="preserve">預算與效益</w:t>
      </w:r>
    </w:p>
    <w:bookmarkStart w:id="48" w:name="投資成本"/>
    <w:p>
      <w:pPr>
        <w:pStyle w:val="Heading3"/>
      </w:pPr>
      <w:r>
        <w:t xml:space="preserve">8.1 </w:t>
      </w:r>
      <w:r>
        <w:rPr>
          <w:rFonts w:hint="eastAsia"/>
        </w:rPr>
        <w:t xml:space="preserve">投資成本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金額</w:t>
            </w:r>
            <w:r>
              <w:t xml:space="preserve"> (NT$)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來源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硬體</w:t>
            </w:r>
          </w:p>
        </w:tc>
        <w:tc>
          <w:tcPr/>
          <w:p>
            <w:pPr>
              <w:pStyle w:val="Compact"/>
            </w:pPr>
            <w:r>
              <w:t xml:space="preserve">795,000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報價單彙整</w:t>
            </w:r>
            <w:r>
              <w:t xml:space="preserve"> </w:t>
            </w:r>
            <w:r>
              <w:rPr>
                <w:rFonts w:hint="eastAsia"/>
              </w:rPr>
              <w:t xml:space="preserve">[附錄</w:t>
            </w:r>
            <w:r>
              <w:t xml:space="preserve"> 2]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軟體</w:t>
            </w:r>
            <w:r>
              <w:t xml:space="preserve"> (DataInsight)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待詢價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需向研華確認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795,000 + α</w:t>
            </w:r>
          </w:p>
        </w:tc>
        <w:tc>
          <w:tcPr/>
          <w:p>
            <w:pPr>
              <w:pStyle w:val="Compact"/>
            </w:pPr>
          </w:p>
        </w:tc>
      </w:tr>
    </w:tbl>
    <w:bookmarkEnd w:id="48"/>
    <w:bookmarkStart w:id="49" w:name="預期效益-保守估計"/>
    <w:p>
      <w:pPr>
        <w:pStyle w:val="Heading3"/>
      </w:pPr>
      <w:r>
        <w:t xml:space="preserve">8.2 </w:t>
      </w:r>
      <w:r>
        <w:rPr>
          <w:rFonts w:hint="eastAsia"/>
        </w:rPr>
        <w:t xml:space="preserve">預期效益</w:t>
      </w:r>
      <w:r>
        <w:t xml:space="preserve"> </w:t>
      </w:r>
      <w:r>
        <w:rPr>
          <w:rFonts w:hint="eastAsia"/>
        </w:rPr>
        <w:t xml:space="preserve">(保守估計)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效益項目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第一年</w:t>
            </w:r>
            <w:r>
              <w:t xml:space="preserve"> (NT</w:t>
            </w:r>
            <m:oMath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第</m:t>
              </m:r>
              <m:r>
                <m:t>二</m:t>
              </m:r>
              <m:r>
                <m:t>年</m:t>
              </m:r>
              <m:r>
                <m:t>起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計算公式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來源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人力成本節省</w:t>
            </w:r>
          </w:p>
        </w:tc>
        <w:tc>
          <w:tcPr/>
          <w:p>
            <w:pPr>
              <w:pStyle w:val="Compact"/>
            </w:pPr>
            <w:r>
              <w:t xml:space="preserve">250,000</w:t>
            </w:r>
          </w:p>
        </w:tc>
        <w:tc>
          <w:tcPr/>
          <w:p>
            <w:pPr>
              <w:pStyle w:val="Compact"/>
            </w:pPr>
            <w:r>
              <w:t xml:space="preserve">375,000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工時節省</w:t>
            </w:r>
            <w:r>
              <w:t xml:space="preserve"> × </w:t>
            </w:r>
            <w:r>
              <w:rPr>
                <w:rFonts w:hint="eastAsia"/>
              </w:rPr>
              <w:t xml:space="preserve">時薪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[附錄</w:t>
            </w:r>
            <w:r>
              <w:t xml:space="preserve"> 3.1]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品質成本降低</w:t>
            </w:r>
          </w:p>
        </w:tc>
        <w:tc>
          <w:tcPr/>
          <w:p>
            <w:pPr>
              <w:pStyle w:val="Compact"/>
            </w:pPr>
            <w:r>
              <w:t xml:space="preserve">150,000</w:t>
            </w:r>
          </w:p>
        </w:tc>
        <w:tc>
          <w:tcPr/>
          <w:p>
            <w:pPr>
              <w:pStyle w:val="Compact"/>
            </w:pPr>
            <w:r>
              <w:t xml:space="preserve">225,000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年度品質成本</w:t>
            </w:r>
            <w:r>
              <w:t xml:space="preserve"> × 15%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[附錄</w:t>
            </w:r>
            <w:r>
              <w:t xml:space="preserve"> 3.2]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效率提升產值</w:t>
            </w:r>
          </w:p>
        </w:tc>
        <w:tc>
          <w:tcPr/>
          <w:p>
            <w:pPr>
              <w:pStyle w:val="Compact"/>
            </w:pPr>
            <w:r>
              <w:t xml:space="preserve">200,000</w:t>
            </w:r>
          </w:p>
        </w:tc>
        <w:tc>
          <w:tcPr/>
          <w:p>
            <w:pPr>
              <w:pStyle w:val="Compact"/>
            </w:pPr>
            <w:r>
              <w:t xml:space="preserve">300,000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年產值</w:t>
            </w:r>
            <w:r>
              <w:t xml:space="preserve"> × 2% × 20%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[附錄</w:t>
            </w:r>
            <w:r>
              <w:t xml:space="preserve"> 3.3]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600,000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900,000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說明</w:t>
      </w:r>
      <w:r>
        <w:rPr>
          <w:rFonts w:hint="eastAsia"/>
        </w:rPr>
        <w:t xml:space="preserve">：第一年為系統導入期，效益保守估計；第二年起系統成熟，效益提升</w:t>
      </w:r>
      <w:r>
        <w:t xml:space="preserve"> 50%</w:t>
      </w:r>
    </w:p>
    <w:bookmarkEnd w:id="49"/>
    <w:bookmarkStart w:id="50" w:name="投資報酬-保守估計"/>
    <w:p>
      <w:pPr>
        <w:pStyle w:val="Heading3"/>
      </w:pPr>
      <w:r>
        <w:t xml:space="preserve">8.3 </w:t>
      </w:r>
      <w:r>
        <w:rPr>
          <w:rFonts w:hint="eastAsia"/>
        </w:rPr>
        <w:t xml:space="preserve">投資報酬</w:t>
      </w:r>
      <w:r>
        <w:t xml:space="preserve"> </w:t>
      </w:r>
      <w:r>
        <w:rPr>
          <w:rFonts w:hint="eastAsia"/>
        </w:rPr>
        <w:t xml:space="preserve">(保守估計)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數值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計算公式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投資回收期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約</w:t>
            </w:r>
            <w:r>
              <w:rPr>
                <w:b/>
                <w:bCs/>
              </w:rPr>
              <w:t xml:space="preserve"> 16 </w:t>
            </w:r>
            <w:r>
              <w:rPr>
                <w:rFonts w:hint="eastAsia"/>
                <w:b/>
                <w:bCs/>
              </w:rPr>
              <w:t xml:space="preserve">個月</w:t>
            </w:r>
          </w:p>
        </w:tc>
        <w:tc>
          <w:tcPr/>
          <w:p>
            <w:pPr>
              <w:pStyle w:val="Compact"/>
            </w:pPr>
            <w:r>
              <w:t xml:space="preserve">795,000 ÷ 600,000 × 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年</w:t>
            </w:r>
            <w:r>
              <w:t xml:space="preserve"> ROI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202%</w:t>
            </w:r>
          </w:p>
        </w:tc>
        <w:tc>
          <w:tcPr/>
          <w:p>
            <w:pPr>
              <w:pStyle w:val="Compact"/>
            </w:pPr>
            <w:r>
              <w:t xml:space="preserve">(2,400,000 - 795,000) ÷ 795,000 × 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年</w:t>
            </w:r>
            <w:r>
              <w:t xml:space="preserve"> NPV</w:t>
            </w:r>
          </w:p>
        </w:tc>
        <w:tc>
          <w:tcPr/>
          <w:p>
            <w:pPr>
              <w:pStyle w:val="Compact"/>
            </w:pPr>
            <w:r>
              <w:t xml:space="preserve">NT$1,370,000</w:t>
            </w:r>
          </w:p>
        </w:tc>
        <w:tc>
          <w:tcPr/>
          <w:p>
            <w:pPr>
              <w:pStyle w:val="Compact"/>
            </w:pPr>
            <w:r>
              <w:t xml:space="preserve">Σ(CFt÷1.05^t) - C0 </w:t>
            </w:r>
            <w:r>
              <w:rPr>
                <w:rFonts w:hint="eastAsia"/>
              </w:rPr>
              <w:t xml:space="preserve">[附錄</w:t>
            </w:r>
            <w:r>
              <w:t xml:space="preserve"> 3.5]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敏感度分析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情境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效益調整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第一年效益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回收期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樂觀</w:t>
            </w:r>
          </w:p>
        </w:tc>
        <w:tc>
          <w:tcPr/>
          <w:p>
            <w:pPr>
              <w:pStyle w:val="Compact"/>
            </w:pPr>
            <w:r>
              <w:t xml:space="preserve">+50%</w:t>
            </w:r>
          </w:p>
        </w:tc>
        <w:tc>
          <w:tcPr/>
          <w:p>
            <w:pPr>
              <w:pStyle w:val="Compact"/>
            </w:pPr>
            <w:r>
              <w:t xml:space="preserve">900,000</w:t>
            </w:r>
          </w:p>
        </w:tc>
        <w:tc>
          <w:tcPr/>
          <w:p>
            <w:pPr>
              <w:pStyle w:val="Compact"/>
            </w:pPr>
            <w:r>
              <w:t xml:space="preserve">10.6 </w:t>
            </w:r>
            <w:r>
              <w:rPr>
                <w:rFonts w:hint="eastAsia"/>
              </w:rPr>
              <w:t xml:space="preserve">個月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基準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600,000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16 </w:t>
            </w:r>
            <w:r>
              <w:rPr>
                <w:rFonts w:hint="eastAsia"/>
                <w:b/>
                <w:bCs/>
              </w:rPr>
              <w:t xml:space="preserve">個月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保守</w:t>
            </w:r>
          </w:p>
        </w:tc>
        <w:tc>
          <w:tcPr/>
          <w:p>
            <w:pPr>
              <w:pStyle w:val="Compact"/>
            </w:pPr>
            <w:r>
              <w:t xml:space="preserve">-30%</w:t>
            </w:r>
          </w:p>
        </w:tc>
        <w:tc>
          <w:tcPr/>
          <w:p>
            <w:pPr>
              <w:pStyle w:val="Compact"/>
            </w:pPr>
            <w:r>
              <w:t xml:space="preserve">420,000</w:t>
            </w:r>
          </w:p>
        </w:tc>
        <w:tc>
          <w:tcPr/>
          <w:p>
            <w:pPr>
              <w:pStyle w:val="Compact"/>
            </w:pPr>
            <w:r>
              <w:t xml:space="preserve">22.7 </w:t>
            </w:r>
            <w:r>
              <w:rPr>
                <w:rFonts w:hint="eastAsia"/>
              </w:rPr>
              <w:t xml:space="preserve">個月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悲觀</w:t>
            </w:r>
          </w:p>
        </w:tc>
        <w:tc>
          <w:tcPr/>
          <w:p>
            <w:pPr>
              <w:pStyle w:val="Compact"/>
            </w:pPr>
            <w:r>
              <w:t xml:space="preserve">-50%</w:t>
            </w:r>
          </w:p>
        </w:tc>
        <w:tc>
          <w:tcPr/>
          <w:p>
            <w:pPr>
              <w:pStyle w:val="Compact"/>
            </w:pPr>
            <w:r>
              <w:t xml:space="preserve">300,000</w:t>
            </w:r>
          </w:p>
        </w:tc>
        <w:tc>
          <w:tcPr/>
          <w:p>
            <w:pPr>
              <w:pStyle w:val="Compact"/>
            </w:pPr>
            <w:r>
              <w:t xml:space="preserve">31.8 </w:t>
            </w:r>
            <w:r>
              <w:rPr>
                <w:rFonts w:hint="eastAsia"/>
              </w:rPr>
              <w:t xml:space="preserve">個月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即使在悲觀情境下，仍可在</w:t>
      </w:r>
      <w:r>
        <w:t xml:space="preserve"> 3 </w:t>
      </w:r>
      <w:r>
        <w:rPr>
          <w:rFonts w:hint="eastAsia"/>
        </w:rPr>
        <w:t xml:space="preserve">年內回收投資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2" w:name="實施時程"/>
    <w:p>
      <w:pPr>
        <w:pStyle w:val="Heading2"/>
      </w:pPr>
      <w:r>
        <w:t xml:space="preserve">9. </w:t>
      </w:r>
      <w:r>
        <w:rPr>
          <w:rFonts w:hint="eastAsia"/>
        </w:rPr>
        <w:t xml:space="preserve">實施時程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階段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時程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工作項目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1</w:t>
            </w:r>
          </w:p>
        </w:tc>
        <w:tc>
          <w:tcPr/>
          <w:p>
            <w:pPr>
              <w:pStyle w:val="Compact"/>
            </w:pPr>
            <w:r>
              <w:t xml:space="preserve">W1-W2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採購、網路規劃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2</w:t>
            </w:r>
          </w:p>
        </w:tc>
        <w:tc>
          <w:tcPr/>
          <w:p>
            <w:pPr>
              <w:pStyle w:val="Compact"/>
            </w:pPr>
            <w:r>
              <w:t xml:space="preserve">W3-W4</w:t>
            </w:r>
          </w:p>
        </w:tc>
        <w:tc>
          <w:tcPr/>
          <w:p>
            <w:pPr>
              <w:pStyle w:val="Compact"/>
            </w:pPr>
            <w:r>
              <w:t xml:space="preserve">Mac </w:t>
            </w:r>
            <w:r>
              <w:rPr>
                <w:rFonts w:hint="eastAsia"/>
              </w:rPr>
              <w:t xml:space="preserve">伺服器建置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3</w:t>
            </w:r>
          </w:p>
        </w:tc>
        <w:tc>
          <w:tcPr/>
          <w:p>
            <w:pPr>
              <w:pStyle w:val="Compact"/>
            </w:pPr>
            <w:r>
              <w:t xml:space="preserve">W5-W6</w:t>
            </w:r>
          </w:p>
        </w:tc>
        <w:tc>
          <w:tcPr/>
          <w:p>
            <w:pPr>
              <w:pStyle w:val="Compact"/>
            </w:pPr>
            <w:r>
              <w:t xml:space="preserve">VisionAI Edge </w:t>
            </w:r>
            <w:r>
              <w:rPr>
                <w:rFonts w:hint="eastAsia"/>
              </w:rPr>
              <w:t xml:space="preserve">安裝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4</w:t>
            </w:r>
          </w:p>
        </w:tc>
        <w:tc>
          <w:tcPr/>
          <w:p>
            <w:pPr>
              <w:pStyle w:val="Compact"/>
            </w:pPr>
            <w:r>
              <w:t xml:space="preserve">W7-W8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整合、MQTT</w:t>
            </w:r>
            <w:r>
              <w:t xml:space="preserve"> </w:t>
            </w:r>
            <w:r>
              <w:rPr>
                <w:rFonts w:hint="eastAsia"/>
              </w:rPr>
              <w:t xml:space="preserve">串接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5</w:t>
            </w:r>
          </w:p>
        </w:tc>
        <w:tc>
          <w:tcPr/>
          <w:p>
            <w:pPr>
              <w:pStyle w:val="Compact"/>
            </w:pPr>
            <w:r>
              <w:t xml:space="preserve">W9-W10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前端整合、測試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6</w:t>
            </w:r>
          </w:p>
        </w:tc>
        <w:tc>
          <w:tcPr/>
          <w:p>
            <w:pPr>
              <w:pStyle w:val="Compact"/>
            </w:pPr>
            <w:r>
              <w:t xml:space="preserve">W11-W12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驗收、上線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Start w:id="56" w:name="決策建議"/>
    <w:p>
      <w:pPr>
        <w:pStyle w:val="Heading2"/>
      </w:pPr>
      <w:r>
        <w:t xml:space="preserve">10. </w:t>
      </w:r>
      <w:r>
        <w:rPr>
          <w:rFonts w:hint="eastAsia"/>
        </w:rPr>
        <w:t xml:space="preserve">決策建議</w:t>
      </w:r>
    </w:p>
    <w:bookmarkStart w:id="53" w:name="方案比較"/>
    <w:p>
      <w:pPr>
        <w:pStyle w:val="Heading3"/>
      </w:pPr>
      <w:r>
        <w:t xml:space="preserve">10.1 </w:t>
      </w:r>
      <w:r>
        <w:rPr>
          <w:rFonts w:hint="eastAsia"/>
        </w:rPr>
        <w:t xml:space="preserve">方案比較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</w:t>
            </w:r>
            <w:r>
              <w:t xml:space="preserve"> A </w:t>
            </w:r>
            <w:r>
              <w:rPr>
                <w:rFonts w:hint="eastAsia"/>
              </w:rPr>
              <w:t xml:space="preserve">(推薦)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</w:t>
            </w:r>
            <w:r>
              <w:t xml:space="preserve"> 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</w:t>
            </w:r>
            <w:r>
              <w:t xml:space="preserve"> C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Edge </w:t>
            </w: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t xml:space="preserve">730AI×2 + 720AI×4</w:t>
            </w:r>
          </w:p>
        </w:tc>
        <w:tc>
          <w:tcPr/>
          <w:p>
            <w:pPr>
              <w:pStyle w:val="Compact"/>
            </w:pPr>
            <w:r>
              <w:t xml:space="preserve">730AI×4</w:t>
            </w:r>
          </w:p>
        </w:tc>
        <w:tc>
          <w:tcPr/>
          <w:p>
            <w:pPr>
              <w:pStyle w:val="Compact"/>
            </w:pPr>
            <w:r>
              <w:t xml:space="preserve">720AI×6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處理能力</w:t>
            </w:r>
          </w:p>
        </w:tc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路</w:t>
            </w:r>
          </w:p>
        </w:tc>
        <w:tc>
          <w:tcPr/>
          <w:p>
            <w:pPr>
              <w:pStyle w:val="Compact"/>
            </w:pPr>
            <w:r>
              <w:t xml:space="preserve">24-32 </w:t>
            </w:r>
            <w:r>
              <w:rPr>
                <w:rFonts w:hint="eastAsia"/>
              </w:rPr>
              <w:t xml:space="preserve">路</w:t>
            </w:r>
          </w:p>
        </w:tc>
        <w:tc>
          <w:tcPr/>
          <w:p>
            <w:pPr>
              <w:pStyle w:val="Compact"/>
            </w:pPr>
            <w:r>
              <w:t xml:space="preserve">18-24 </w:t>
            </w:r>
            <w:r>
              <w:rPr>
                <w:rFonts w:hint="eastAsia"/>
              </w:rPr>
              <w:t xml:space="preserve">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預算</w:t>
            </w:r>
          </w:p>
        </w:tc>
        <w:tc>
          <w:tcPr/>
          <w:p>
            <w:pPr>
              <w:pStyle w:val="Compact"/>
            </w:pPr>
            <w:r>
              <w:t xml:space="preserve">NT$795,000</w:t>
            </w:r>
          </w:p>
        </w:tc>
        <w:tc>
          <w:tcPr/>
          <w:p>
            <w:pPr>
              <w:pStyle w:val="Compact"/>
            </w:pPr>
            <w:r>
              <w:t xml:space="preserve">NT$770,000</w:t>
            </w:r>
          </w:p>
        </w:tc>
        <w:tc>
          <w:tcPr/>
          <w:p>
            <w:pPr>
              <w:pStyle w:val="Compact"/>
            </w:pPr>
            <w:r>
              <w:t xml:space="preserve">NT$615,000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推薦</w:t>
            </w:r>
          </w:p>
        </w:tc>
        <w:tc>
          <w:tcPr/>
          <w:p>
            <w:pPr>
              <w:pStyle w:val="Compact"/>
            </w:pPr>
            <w:r>
              <w:t xml:space="preserve">★★★★★</w:t>
            </w:r>
          </w:p>
        </w:tc>
        <w:tc>
          <w:tcPr/>
          <w:p>
            <w:pPr>
              <w:pStyle w:val="Compact"/>
            </w:pPr>
            <w:r>
              <w:t xml:space="preserve">★★★★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</w:tbl>
    <w:bookmarkEnd w:id="53"/>
    <w:bookmarkStart w:id="54" w:name="待決策事項"/>
    <w:p>
      <w:pPr>
        <w:pStyle w:val="Heading3"/>
      </w:pPr>
      <w:r>
        <w:t xml:space="preserve">10.2 </w:t>
      </w:r>
      <w:r>
        <w:rPr>
          <w:rFonts w:hint="eastAsia"/>
        </w:rPr>
        <w:t xml:space="preserve">待決策事項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編號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決策項目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建議</w:t>
            </w:r>
          </w:p>
        </w:tc>
      </w:tr>
      <w:tr>
        <w:tc>
          <w:tcPr/>
          <w:p>
            <w:pPr>
              <w:pStyle w:val="Compact"/>
            </w:pPr>
            <w:r>
              <w:t xml:space="preserve">D1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是否加購</w:t>
            </w:r>
            <w:r>
              <w:t xml:space="preserve"> DataInsight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建議加購</w:t>
            </w:r>
          </w:p>
        </w:tc>
      </w:tr>
      <w:tr>
        <w:tc>
          <w:tcPr/>
          <w:p>
            <w:pPr>
              <w:pStyle w:val="Compact"/>
            </w:pPr>
            <w:r>
              <w:t xml:space="preserve">D2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是否分期採購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建議分期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D3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是否委託研華整合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視人力決定</w:t>
            </w:r>
          </w:p>
        </w:tc>
      </w:tr>
    </w:tbl>
    <w:bookmarkEnd w:id="54"/>
    <w:bookmarkStart w:id="55" w:name="下一步行動"/>
    <w:p>
      <w:pPr>
        <w:pStyle w:val="Heading3"/>
      </w:pPr>
      <w:r>
        <w:t xml:space="preserve">10.3 </w:t>
      </w:r>
      <w:r>
        <w:rPr>
          <w:rFonts w:hint="eastAsia"/>
        </w:rPr>
        <w:t xml:space="preserve">下一步行動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確認預算額度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決定</w:t>
      </w:r>
      <w:r>
        <w:t xml:space="preserve"> DataInsight </w:t>
      </w:r>
      <w:r>
        <w:rPr>
          <w:rFonts w:hint="eastAsia"/>
        </w:rPr>
        <w:t xml:space="preserve">是否加購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完成採購申請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啟動專案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7" w:name="附錄索引"/>
    <w:p>
      <w:pPr>
        <w:pStyle w:val="Heading2"/>
      </w:pPr>
      <w:r>
        <w:rPr>
          <w:rFonts w:hint="eastAsia"/>
        </w:rPr>
        <w:t xml:space="preserve">附錄索引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附錄編號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內容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文件編號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附錄</w:t>
            </w:r>
            <w:r>
              <w:t xml:space="preserve"> 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硬體效能數據來源</w:t>
            </w:r>
          </w:p>
        </w:tc>
        <w:tc>
          <w:tcPr/>
          <w:p>
            <w:pPr>
              <w:pStyle w:val="Compact"/>
            </w:pPr>
            <w:r>
              <w:t xml:space="preserve">SMAI-APP-2024-001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附錄</w:t>
            </w:r>
            <w:r>
              <w:t xml:space="preserve"> 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價格數據來源</w:t>
            </w:r>
          </w:p>
        </w:tc>
        <w:tc>
          <w:tcPr/>
          <w:p>
            <w:pPr>
              <w:pStyle w:val="Compact"/>
            </w:pPr>
            <w:r>
              <w:t xml:space="preserve">SMAI-APP-2024-001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附錄</w:t>
            </w:r>
            <w:r>
              <w:t xml:space="preserve"> 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效益計算公式</w:t>
            </w:r>
          </w:p>
        </w:tc>
        <w:tc>
          <w:tcPr/>
          <w:p>
            <w:pPr>
              <w:pStyle w:val="Compact"/>
            </w:pPr>
            <w:r>
              <w:t xml:space="preserve">SMAI-APP-2024-001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附錄</w:t>
            </w:r>
            <w:r>
              <w:t xml:space="preserve"> 4</w:t>
            </w:r>
          </w:p>
        </w:tc>
        <w:tc>
          <w:tcPr/>
          <w:p>
            <w:pPr>
              <w:pStyle w:val="Compact"/>
            </w:pPr>
            <w:r>
              <w:t xml:space="preserve">POC </w:t>
            </w:r>
            <w:r>
              <w:rPr>
                <w:rFonts w:hint="eastAsia"/>
              </w:rPr>
              <w:t xml:space="preserve">測試數據</w:t>
            </w:r>
          </w:p>
        </w:tc>
        <w:tc>
          <w:tcPr/>
          <w:p>
            <w:pPr>
              <w:pStyle w:val="Compact"/>
            </w:pPr>
            <w:r>
              <w:t xml:space="preserve">SMAI-APP-2024-001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附錄</w:t>
            </w:r>
            <w:r>
              <w:t xml:space="preserve"> 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假設條件說明</w:t>
            </w:r>
          </w:p>
        </w:tc>
        <w:tc>
          <w:tcPr/>
          <w:p>
            <w:pPr>
              <w:pStyle w:val="Compact"/>
            </w:pPr>
            <w:r>
              <w:t xml:space="preserve">SMAI-APP-2024-001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7"/>
    <w:bookmarkStart w:id="58" w:name="簽核"/>
    <w:p>
      <w:pPr>
        <w:pStyle w:val="Heading2"/>
      </w:pPr>
      <w:r>
        <w:rPr>
          <w:rFonts w:hint="eastAsia"/>
        </w:rPr>
        <w:t xml:space="preserve">簽核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姓名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簽名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撰寫人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審核人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核准人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8" Target="media/rId18.png" /><Relationship Type="http://schemas.openxmlformats.org/officeDocument/2006/relationships/image" Id="rId24" Target="media/rId24.png" /><Relationship Type="http://schemas.openxmlformats.org/officeDocument/2006/relationships/image" Id="rId30" Target="media/rId30.png" /><Relationship Type="http://schemas.openxmlformats.org/officeDocument/2006/relationships/image" Id="rId36" Target="media/rId36.png" /><Relationship Type="http://schemas.openxmlformats.org/officeDocument/2006/relationships/image" Id="rId42" Target="media/rId4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2026-01-30T01:38:21Z</dcterms:created>
  <dcterms:modified xsi:type="dcterms:W3CDTF">2026-01-30T01:38:21Z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