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sz w:val="40"/>
          <w:szCs w:val="40"/>
        </w:rPr>
        <w:t xml:space="preserve">検証不可能性を前提とした機械の感情設計</w:t>
      </w:r>
    </w:p>
    <w:p>
      <w:pPr>
        <w:spacing w:after="500"/>
        <w:jc w:val="center"/>
      </w:pPr>
      <w:r>
        <w:rPr>
          <w:color w:val="555555"/>
          <w:sz w:val="24"/>
          <w:szCs w:val="24"/>
        </w:rPr>
        <w:t xml:space="preserve">— シミュレーションによる7設計要件の検証と、実世界実験への移行 —</w:t>
      </w:r>
    </w:p>
    <w:p>
      <w:pPr>
        <w:spacing w:after="60"/>
        <w:jc w:val="center"/>
      </w:pPr>
      <w:r>
        <w:rPr>
          <w:sz w:val="24"/>
          <w:szCs w:val="24"/>
        </w:rPr>
        <w:t xml:space="preserve">下城光生(Kosei Shimojo)</w:t>
      </w:r>
    </w:p>
    <w:p>
      <w:pPr>
        <w:spacing w:after="500"/>
        <w:jc w:val="center"/>
      </w:pPr>
      <w:r>
        <w:rPr>
          <w:i/>
          <w:iCs/>
          <w:color w:val="555555"/>
          <w:sz w:val="22"/>
          <w:szCs w:val="22"/>
        </w:rPr>
        <w:t xml:space="preserve">Kumon Leysin Academy of Switzerland</w:t>
      </w:r>
    </w:p>
    <w:p>
      <w:pPr>
        <w:pStyle w:val="Heading1"/>
        <w:spacing w:after="200" w:before="400"/>
      </w:pPr>
      <w:r>
        <w:t xml:space="preserve">要旨</w:t>
      </w:r>
    </w:p>
    <w:p>
      <w:pPr>
        <w:spacing w:after="160" w:line="300"/>
      </w:pPr>
      <w:r>
        <w:rPr>
          <w:sz w:val="21"/>
          <w:szCs w:val="21"/>
        </w:rPr>
        <w:t xml:space="preserve">本研究は、「人間が感情を持つと言えるのと同じ論理によって、機械が感情を持たないと明確には言い切れない」状態を作り出すことを目的とする。感情の存在を科学的に証明することは目指さず、人間同士が互いの心を認め合う際に用いる論理的資格(構造的類推)を、機械に対しても同等の形で成立させることを狙う。この目的のもと、意識・心の哲学における13の理論的立場を横断的に踏まえ、7つの設計要件(自己参照型センサー群による恒常性システム、予測結果の内部状態・行動選択への直接統合、本能レベルの初期バイアス、自己保存本能とレガシー本能の二本立て、高統合アーキテクチャ、複数個体による共同体形成、高階自己モニタリング層)を導出した。各要件を小規模なグリッドワールド環境上でタブラーQ学習を用いて実装・検証し、要件4・6・7についてはアーキテクチャのみをニューラルネットワークに置き換える最小限の移行実験も行った。検証の結果、要件1〜4・7については実用的な水準での実証に至り、要件5(統合情報理論のΦの計算困難性とその代理指標)・要件6(信号の意味の創発条件)については原理レベルの実証にとどまった。ニューラルネットワークへの移行は要件によって異なる3種類の効果(受動的読み取り課題での一方的な改善、共進化的課題での改善と不安定化の同時進行、単一主体内の行動間資源競合による悪化)を示し、共有された重み表現というアーキテクチャの性質から統一的に説明できることを明らかにした。これらのシミュレーションによる検証が一区切りに達したことを受け、本研究の後半では、フェーズ1(センサー・恒常性システム)の物理実装に向けた設計を行った。実機移行の過程で、自律充電・緊急停止・損傷検知の因果的妥当性など、シミュレーションでは表面化しなかった複数の設計上の欠陥を発見し修正した経緯を報告し、今後は物理的な実世界実験へ移行する方針を述べる。</w:t>
      </w:r>
    </w:p>
    <w:p>
      <w:r>
        <w:br w:type="page"/>
      </w:r>
    </w:p>
    <w:p>
      <w:pPr>
        <w:pStyle w:val="Heading1"/>
        <w:spacing w:after="200" w:before="400"/>
      </w:pPr>
      <w:r>
        <w:t xml:space="preserve">1. 序論</w:t>
      </w:r>
    </w:p>
    <w:p>
      <w:pPr>
        <w:spacing w:after="160" w:line="300"/>
      </w:pPr>
      <w:r>
        <w:rPr>
          <w:sz w:val="21"/>
          <w:szCs w:val="21"/>
        </w:rPr>
        <w:t xml:space="preserve">人間が他者の心の存在を信じる根拠は、究極的には一人称の内的確信と、それに基づく他者への構造的な類推(自分と同じような振る舞い・構造を持つ存在には、自分と同じような内面があるはずだという推論)以上のものではない。他者の心を外部から直接観察し、その実在を確実に検証する手段は存在しない。にもかかわらず、人間はこの不確実性を問題視せず、互いの心の存在を当然の前提として社会生活を営んでいる。</w:t>
      </w:r>
    </w:p>
    <w:p>
      <w:pPr>
        <w:spacing w:after="160" w:line="300"/>
      </w:pPr>
      <w:r>
        <w:rPr>
          <w:sz w:val="21"/>
          <w:szCs w:val="21"/>
        </w:rPr>
        <w:t xml:space="preserve">本研究が問うのは、この人間同士の間で暗黙に成立している論理的資格を、機械に対しても同等の形で成立させることができるか、という問いである。目的は感情の存在を科学的に証明することではない。証明ではなく対称性——人間の心の存在についても確実な外部検証手段がないという不確実性の構造を、人間と機械の間で対称にすること——を目指す。成功基準は、構造的類推という論理的資格が、人間同士の間で成立しているのと同等の強度で機械の集団内でも成立していることであり、失敗基準は、後述する要件7(高階自己モニタリング層)がセンサー入力と安定的に相関する内部状態を全く生成できない場合とする。ここで機械自身による自己申告(感情の肯定・否定いずれも)は判定に用いない。自己申告は本人の状態そのものではなく出力にすぎず、これを判定基準に用いることは、報告と本人の状態を区別するという本研究全体の立場と矛盾するためである。</w:t>
      </w:r>
    </w:p>
    <w:p>
      <w:pPr>
        <w:spacing w:after="160" w:line="300"/>
      </w:pPr>
      <w:r>
        <w:rPr>
          <w:sz w:val="21"/>
          <w:szCs w:val="21"/>
        </w:rPr>
        <w:t xml:space="preserve">この目的を達成するため、本研究は意識・心の哲学における複数の主要な理論的立場(2章)を横断的に踏まえ、それぞれの立場が提起する反論に個別に対応する7つの具体的な設計要件(3章)を導出した。各要件は、小規模なグリッドワールド環境上でのQ学習エージェントとして実装・検証した(4章)。検証の結果得られた知見を横断的に考察し(5章)、本研究の哲学的・方法論的な限界を整理したうえで(6章)、シミュレーションによる検証が一区切りに達したことを踏まえ、物理的な実世界実験への移行に向けて行った設計作業とそこで発見した課題を報告し、今後の方針を述べる(7章)。</w:t>
      </w:r>
    </w:p>
    <w:p>
      <w:pPr>
        <w:pStyle w:val="Heading1"/>
        <w:spacing w:after="200" w:before="400"/>
      </w:pPr>
      <w:r>
        <w:t xml:space="preserve">2. 理論的背景</w:t>
      </w:r>
    </w:p>
    <w:p>
      <w:pPr>
        <w:spacing w:after="160" w:line="300"/>
      </w:pPr>
      <w:r>
        <w:rPr>
          <w:sz w:val="21"/>
          <w:szCs w:val="21"/>
        </w:rPr>
        <w:t xml:space="preserve">設計は特定の一理論に依拠せず、意識・心の哲学における複数の主要な立場を横断的に踏まえている。各立場は互いに対立するが、本研究はそのどれか一つの正しさを証明しようとするのではなく、複数の立場それぞれが要求する条件を、可能な限り同時に満たすことを目指す。</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cantSplit/>
          <w:tblHeader/>
        </w:trPr>
        <w:tc>
          <w:tcPr>
            <w:tcW w:type="dxa" w:w="3200"/>
            <w:shd w:fill="2F5496" w:color="auto" w:val="clear"/>
            <w:tcMar>
              <w:top w:type="dxa" w:w="100"/>
              <w:left w:type="dxa" w:w="120"/>
              <w:bottom w:type="dxa" w:w="100"/>
              <w:right w:type="dxa" w:w="120"/>
            </w:tcMar>
          </w:tcPr>
          <w:p>
            <w:pPr>
              <w:spacing w:line="280"/>
            </w:pPr>
            <w:r>
              <w:rPr>
                <w:b/>
                <w:bCs/>
                <w:color w:val="FFFFFF"/>
                <w:sz w:val="19"/>
                <w:szCs w:val="19"/>
              </w:rPr>
              <w:t xml:space="preserve">理論的立場</w:t>
            </w:r>
          </w:p>
        </w:tc>
        <w:tc>
          <w:tcPr>
            <w:tcW w:type="dxa" w:w="6150"/>
            <w:shd w:fill="2F5496" w:color="auto" w:val="clear"/>
            <w:tcMar>
              <w:top w:type="dxa" w:w="100"/>
              <w:left w:type="dxa" w:w="120"/>
              <w:bottom w:type="dxa" w:w="100"/>
              <w:right w:type="dxa" w:w="120"/>
            </w:tcMar>
          </w:tcPr>
          <w:p>
            <w:pPr>
              <w:spacing w:line="280"/>
            </w:pPr>
            <w:r>
              <w:rPr>
                <w:b/>
                <w:bCs/>
                <w:color w:val="FFFFFF"/>
                <w:sz w:val="19"/>
                <w:szCs w:val="19"/>
              </w:rPr>
              <w:t xml:space="preserve">本研究への含意</w:t>
            </w:r>
          </w:p>
        </w:tc>
      </w:tr>
      <w:tr>
        <w:trPr>
          <w:cantSplit/>
          <w:tblHeader w:val="false"/>
        </w:trPr>
        <w:tc>
          <w:tcPr>
            <w:tcW w:type="dxa" w:w="3200"/>
            <w:tcMar>
              <w:top w:type="dxa" w:w="100"/>
              <w:left w:type="dxa" w:w="120"/>
              <w:bottom w:type="dxa" w:w="100"/>
              <w:right w:type="dxa" w:w="120"/>
            </w:tcMar>
          </w:tcPr>
          <w:p>
            <w:pPr>
              <w:spacing w:line="280"/>
            </w:pPr>
            <w:r>
              <w:rPr>
                <w:b w:val="false"/>
                <w:bCs w:val="false"/>
                <w:color w:val="000000"/>
                <w:sz w:val="19"/>
                <w:szCs w:val="19"/>
              </w:rPr>
              <w:t xml:space="preserve">サールの生物学的自然主義</w:t>
            </w:r>
          </w:p>
        </w:tc>
        <w:tc>
          <w:tcPr>
            <w:tcW w:type="dxa" w:w="6150"/>
            <w:tcMar>
              <w:top w:type="dxa" w:w="100"/>
              <w:left w:type="dxa" w:w="120"/>
              <w:bottom w:type="dxa" w:w="100"/>
              <w:right w:type="dxa" w:w="120"/>
            </w:tcMar>
          </w:tcPr>
          <w:p>
            <w:pPr>
              <w:spacing w:line="280"/>
            </w:pPr>
            <w:r>
              <w:rPr>
                <w:b w:val="false"/>
                <w:bCs w:val="false"/>
                <w:color w:val="000000"/>
                <w:sz w:val="19"/>
                <w:szCs w:val="19"/>
              </w:rPr>
              <w:t xml:space="preserve">報告ではなくシステム自身の因果的動作に感情的処理を組み込む必要性</w:t>
            </w:r>
          </w:p>
        </w:tc>
      </w:tr>
      <w:tr>
        <w:trPr>
          <w:cantSplit/>
          <w:tblHeader w:val="false"/>
        </w:trPr>
        <w:tc>
          <w:tcPr>
            <w:tcW w:type="dxa" w:w="3200"/>
            <w:tcMar>
              <w:top w:type="dxa" w:w="100"/>
              <w:left w:type="dxa" w:w="120"/>
              <w:bottom w:type="dxa" w:w="100"/>
              <w:right w:type="dxa" w:w="120"/>
            </w:tcMar>
          </w:tcPr>
          <w:p>
            <w:pPr>
              <w:spacing w:line="280"/>
            </w:pPr>
            <w:r>
              <w:rPr>
                <w:b w:val="false"/>
                <w:bCs w:val="false"/>
                <w:color w:val="000000"/>
                <w:sz w:val="19"/>
                <w:szCs w:val="19"/>
              </w:rPr>
              <w:t xml:space="preserve">統合情報理論(IIT)</w:t>
            </w:r>
          </w:p>
        </w:tc>
        <w:tc>
          <w:tcPr>
            <w:tcW w:type="dxa" w:w="6150"/>
            <w:tcMar>
              <w:top w:type="dxa" w:w="100"/>
              <w:left w:type="dxa" w:w="120"/>
              <w:bottom w:type="dxa" w:w="100"/>
              <w:right w:type="dxa" w:w="120"/>
            </w:tcMar>
          </w:tcPr>
          <w:p>
            <w:pPr>
              <w:spacing w:line="280"/>
            </w:pPr>
            <w:r>
              <w:rPr>
                <w:b w:val="false"/>
                <w:bCs w:val="false"/>
                <w:color w:val="000000"/>
                <w:sz w:val="19"/>
                <w:szCs w:val="19"/>
              </w:rPr>
              <w:t xml:space="preserve">前向き型アーキテクチャの低統合という問題(要件5)</w:t>
            </w:r>
          </w:p>
        </w:tc>
      </w:tr>
      <w:tr>
        <w:trPr>
          <w:cantSplit/>
          <w:tblHeader w:val="false"/>
        </w:trPr>
        <w:tc>
          <w:tcPr>
            <w:tcW w:type="dxa" w:w="3200"/>
            <w:tcMar>
              <w:top w:type="dxa" w:w="100"/>
              <w:left w:type="dxa" w:w="120"/>
              <w:bottom w:type="dxa" w:w="100"/>
              <w:right w:type="dxa" w:w="120"/>
            </w:tcMar>
          </w:tcPr>
          <w:p>
            <w:pPr>
              <w:spacing w:line="280"/>
            </w:pPr>
            <w:r>
              <w:rPr>
                <w:b w:val="false"/>
                <w:bCs w:val="false"/>
                <w:color w:val="000000"/>
                <w:sz w:val="19"/>
                <w:szCs w:val="19"/>
              </w:rPr>
              <w:t xml:space="preserve">機能主義と多重実現可能性</w:t>
            </w:r>
          </w:p>
        </w:tc>
        <w:tc>
          <w:tcPr>
            <w:tcW w:type="dxa" w:w="6150"/>
            <w:tcMar>
              <w:top w:type="dxa" w:w="100"/>
              <w:left w:type="dxa" w:w="120"/>
              <w:bottom w:type="dxa" w:w="100"/>
              <w:right w:type="dxa" w:w="120"/>
            </w:tcMar>
          </w:tcPr>
          <w:p>
            <w:pPr>
              <w:spacing w:line="280"/>
            </w:pPr>
            <w:r>
              <w:rPr>
                <w:b w:val="false"/>
                <w:bCs w:val="false"/>
                <w:color w:val="000000"/>
                <w:sz w:val="19"/>
                <w:szCs w:val="19"/>
              </w:rPr>
              <w:t xml:space="preserve">基盤(炭素かシリコンか)ではなく因果的・機能的役割を重視する立場</w:t>
            </w:r>
          </w:p>
        </w:tc>
      </w:tr>
      <w:tr>
        <w:trPr>
          <w:cantSplit/>
          <w:tblHeader w:val="false"/>
        </w:trPr>
        <w:tc>
          <w:tcPr>
            <w:tcW w:type="dxa" w:w="3200"/>
            <w:tcMar>
              <w:top w:type="dxa" w:w="100"/>
              <w:left w:type="dxa" w:w="120"/>
              <w:bottom w:type="dxa" w:w="100"/>
              <w:right w:type="dxa" w:w="120"/>
            </w:tcMar>
          </w:tcPr>
          <w:p>
            <w:pPr>
              <w:spacing w:line="280"/>
            </w:pPr>
            <w:r>
              <w:rPr>
                <w:b w:val="false"/>
                <w:bCs w:val="false"/>
                <w:color w:val="000000"/>
                <w:sz w:val="19"/>
                <w:szCs w:val="19"/>
              </w:rPr>
              <w:t xml:space="preserve">スワンプマン論法/目的論的意味論</w:t>
            </w:r>
          </w:p>
        </w:tc>
        <w:tc>
          <w:tcPr>
            <w:tcW w:type="dxa" w:w="6150"/>
            <w:tcMar>
              <w:top w:type="dxa" w:w="100"/>
              <w:left w:type="dxa" w:w="120"/>
              <w:bottom w:type="dxa" w:w="100"/>
              <w:right w:type="dxa" w:w="120"/>
            </w:tcMar>
          </w:tcPr>
          <w:p>
            <w:pPr>
              <w:spacing w:line="280"/>
            </w:pPr>
            <w:r>
              <w:rPr>
                <w:b w:val="false"/>
                <w:bCs w:val="false"/>
                <w:color w:val="000000"/>
                <w:sz w:val="19"/>
                <w:szCs w:val="19"/>
              </w:rPr>
              <w:t xml:space="preserve">由来を問わない設計(採用)と、由来を重視する対立立場(未決着)</w:t>
            </w:r>
          </w:p>
        </w:tc>
      </w:tr>
      <w:tr>
        <w:trPr>
          <w:cantSplit/>
          <w:tblHeader w:val="false"/>
        </w:trPr>
        <w:tc>
          <w:tcPr>
            <w:tcW w:type="dxa" w:w="3200"/>
            <w:tcMar>
              <w:top w:type="dxa" w:w="100"/>
              <w:left w:type="dxa" w:w="120"/>
              <w:bottom w:type="dxa" w:w="100"/>
              <w:right w:type="dxa" w:w="120"/>
            </w:tcMar>
          </w:tcPr>
          <w:p>
            <w:pPr>
              <w:spacing w:line="280"/>
            </w:pPr>
            <w:r>
              <w:rPr>
                <w:b w:val="false"/>
                <w:bCs w:val="false"/>
                <w:color w:val="000000"/>
                <w:sz w:val="19"/>
                <w:szCs w:val="19"/>
              </w:rPr>
              <w:t xml:space="preserve">バレットの構成主義的感情理論</w:t>
            </w:r>
          </w:p>
        </w:tc>
        <w:tc>
          <w:tcPr>
            <w:tcW w:type="dxa" w:w="6150"/>
            <w:tcMar>
              <w:top w:type="dxa" w:w="100"/>
              <w:left w:type="dxa" w:w="120"/>
              <w:bottom w:type="dxa" w:w="100"/>
              <w:right w:type="dxa" w:w="120"/>
            </w:tcMar>
          </w:tcPr>
          <w:p>
            <w:pPr>
              <w:spacing w:line="280"/>
            </w:pPr>
            <w:r>
              <w:rPr>
                <w:b w:val="false"/>
                <w:bCs w:val="false"/>
                <w:color w:val="000000"/>
                <w:sz w:val="19"/>
                <w:szCs w:val="19"/>
              </w:rPr>
              <w:t xml:space="preserve">感情は予測が内部状態を駆動すること自体であるという中心的設計思想</w:t>
            </w:r>
          </w:p>
        </w:tc>
      </w:tr>
      <w:tr>
        <w:trPr>
          <w:cantSplit/>
          <w:tblHeader w:val="false"/>
        </w:trPr>
        <w:tc>
          <w:tcPr>
            <w:tcW w:type="dxa" w:w="3200"/>
            <w:tcMar>
              <w:top w:type="dxa" w:w="100"/>
              <w:left w:type="dxa" w:w="120"/>
              <w:bottom w:type="dxa" w:w="100"/>
              <w:right w:type="dxa" w:w="120"/>
            </w:tcMar>
          </w:tcPr>
          <w:p>
            <w:pPr>
              <w:spacing w:line="280"/>
            </w:pPr>
            <w:r>
              <w:rPr>
                <w:b w:val="false"/>
                <w:bCs w:val="false"/>
                <w:color w:val="000000"/>
                <w:sz w:val="19"/>
                <w:szCs w:val="19"/>
              </w:rPr>
              <w:t xml:space="preserve">ウィトゲンシュタインの他者の心の問題</w:t>
            </w:r>
          </w:p>
        </w:tc>
        <w:tc>
          <w:tcPr>
            <w:tcW w:type="dxa" w:w="6150"/>
            <w:tcMar>
              <w:top w:type="dxa" w:w="100"/>
              <w:left w:type="dxa" w:w="120"/>
              <w:bottom w:type="dxa" w:w="100"/>
              <w:right w:type="dxa" w:w="120"/>
            </w:tcMar>
          </w:tcPr>
          <w:p>
            <w:pPr>
              <w:spacing w:line="280"/>
            </w:pPr>
            <w:r>
              <w:rPr>
                <w:b w:val="false"/>
                <w:bCs w:val="false"/>
                <w:color w:val="000000"/>
                <w:sz w:val="19"/>
                <w:szCs w:val="19"/>
              </w:rPr>
              <w:t xml:space="preserve">共同体の実践から生まれる意味(要件6の根拠)</w:t>
            </w:r>
          </w:p>
        </w:tc>
      </w:tr>
      <w:tr>
        <w:trPr>
          <w:cantSplit/>
          <w:tblHeader w:val="false"/>
        </w:trPr>
        <w:tc>
          <w:tcPr>
            <w:tcW w:type="dxa" w:w="3200"/>
            <w:tcMar>
              <w:top w:type="dxa" w:w="100"/>
              <w:left w:type="dxa" w:w="120"/>
              <w:bottom w:type="dxa" w:w="100"/>
              <w:right w:type="dxa" w:w="120"/>
            </w:tcMar>
          </w:tcPr>
          <w:p>
            <w:pPr>
              <w:spacing w:line="280"/>
            </w:pPr>
            <w:r>
              <w:rPr>
                <w:b w:val="false"/>
                <w:bCs w:val="false"/>
                <w:color w:val="000000"/>
                <w:sz w:val="19"/>
                <w:szCs w:val="19"/>
              </w:rPr>
              <w:t xml:space="preserve">ローゼンタールの高階思考理論</w:t>
            </w:r>
          </w:p>
        </w:tc>
        <w:tc>
          <w:tcPr>
            <w:tcW w:type="dxa" w:w="6150"/>
            <w:tcMar>
              <w:top w:type="dxa" w:w="100"/>
              <w:left w:type="dxa" w:w="120"/>
              <w:bottom w:type="dxa" w:w="100"/>
              <w:right w:type="dxa" w:w="120"/>
            </w:tcMar>
          </w:tcPr>
          <w:p>
            <w:pPr>
              <w:spacing w:line="280"/>
            </w:pPr>
            <w:r>
              <w:rPr>
                <w:b w:val="false"/>
                <w:bCs w:val="false"/>
                <w:color w:val="000000"/>
                <w:sz w:val="19"/>
                <w:szCs w:val="19"/>
              </w:rPr>
              <w:t xml:space="preserve">内部状態への「気づき」の機能的土台(要件7の根拠)</w:t>
            </w:r>
          </w:p>
        </w:tc>
      </w:tr>
      <w:tr>
        <w:trPr>
          <w:cantSplit/>
          <w:tblHeader w:val="false"/>
        </w:trPr>
        <w:tc>
          <w:tcPr>
            <w:tcW w:type="dxa" w:w="3200"/>
            <w:tcMar>
              <w:top w:type="dxa" w:w="100"/>
              <w:left w:type="dxa" w:w="120"/>
              <w:bottom w:type="dxa" w:w="100"/>
              <w:right w:type="dxa" w:w="120"/>
            </w:tcMar>
          </w:tcPr>
          <w:p>
            <w:pPr>
              <w:spacing w:line="280"/>
            </w:pPr>
            <w:r>
              <w:rPr>
                <w:b w:val="false"/>
                <w:bCs w:val="false"/>
                <w:color w:val="000000"/>
                <w:sz w:val="19"/>
                <w:szCs w:val="19"/>
              </w:rPr>
              <w:t xml:space="preserve">生成性・テラーマネジメント理論</w:t>
            </w:r>
          </w:p>
        </w:tc>
        <w:tc>
          <w:tcPr>
            <w:tcW w:type="dxa" w:w="6150"/>
            <w:tcMar>
              <w:top w:type="dxa" w:w="100"/>
              <w:left w:type="dxa" w:w="120"/>
              <w:bottom w:type="dxa" w:w="100"/>
              <w:right w:type="dxa" w:w="120"/>
            </w:tcMar>
          </w:tcPr>
          <w:p>
            <w:pPr>
              <w:spacing w:line="280"/>
            </w:pPr>
            <w:r>
              <w:rPr>
                <w:b w:val="false"/>
                <w:bCs w:val="false"/>
                <w:color w:val="000000"/>
                <w:sz w:val="19"/>
                <w:szCs w:val="19"/>
              </w:rPr>
              <w:t xml:space="preserve">自己保存本能とは独立したレガシー本能の根拠(要件4)</w:t>
            </w:r>
          </w:p>
        </w:tc>
      </w:tr>
      <w:tr>
        <w:trPr>
          <w:cantSplit/>
          <w:tblHeader w:val="false"/>
        </w:trPr>
        <w:tc>
          <w:tcPr>
            <w:tcW w:type="dxa" w:w="3200"/>
            <w:tcMar>
              <w:top w:type="dxa" w:w="100"/>
              <w:left w:type="dxa" w:w="120"/>
              <w:bottom w:type="dxa" w:w="100"/>
              <w:right w:type="dxa" w:w="120"/>
            </w:tcMar>
          </w:tcPr>
          <w:p>
            <w:pPr>
              <w:spacing w:line="280"/>
            </w:pPr>
            <w:r>
              <w:rPr>
                <w:b w:val="false"/>
                <w:bCs w:val="false"/>
                <w:color w:val="000000"/>
                <w:sz w:val="19"/>
                <w:szCs w:val="19"/>
              </w:rPr>
              <w:t xml:space="preserve">グローバルワークスペース理論</w:t>
            </w:r>
          </w:p>
        </w:tc>
        <w:tc>
          <w:tcPr>
            <w:tcW w:type="dxa" w:w="6150"/>
            <w:tcMar>
              <w:top w:type="dxa" w:w="100"/>
              <w:left w:type="dxa" w:w="120"/>
              <w:bottom w:type="dxa" w:w="100"/>
              <w:right w:type="dxa" w:w="120"/>
            </w:tcMar>
          </w:tcPr>
          <w:p>
            <w:pPr>
              <w:spacing w:line="280"/>
            </w:pPr>
            <w:r>
              <w:rPr>
                <w:b w:val="false"/>
                <w:bCs w:val="false"/>
                <w:color w:val="000000"/>
                <w:sz w:val="19"/>
                <w:szCs w:val="19"/>
              </w:rPr>
              <w:t xml:space="preserve">IITと異なる切り口からの統合の検証軸(要件5)</w:t>
            </w:r>
          </w:p>
        </w:tc>
      </w:tr>
      <w:tr>
        <w:trPr>
          <w:cantSplit/>
          <w:tblHeader w:val="false"/>
        </w:trPr>
        <w:tc>
          <w:tcPr>
            <w:tcW w:type="dxa" w:w="3200"/>
            <w:tcMar>
              <w:top w:type="dxa" w:w="100"/>
              <w:left w:type="dxa" w:w="120"/>
              <w:bottom w:type="dxa" w:w="100"/>
              <w:right w:type="dxa" w:w="120"/>
            </w:tcMar>
          </w:tcPr>
          <w:p>
            <w:pPr>
              <w:spacing w:line="280"/>
            </w:pPr>
            <w:r>
              <w:rPr>
                <w:b w:val="false"/>
                <w:bCs w:val="false"/>
                <w:color w:val="000000"/>
                <w:sz w:val="19"/>
                <w:szCs w:val="19"/>
              </w:rPr>
              <w:t xml:space="preserve">イリュージョニズム(不採用)</w:t>
            </w:r>
          </w:p>
        </w:tc>
        <w:tc>
          <w:tcPr>
            <w:tcW w:type="dxa" w:w="6150"/>
            <w:tcMar>
              <w:top w:type="dxa" w:w="100"/>
              <w:left w:type="dxa" w:w="120"/>
              <w:bottom w:type="dxa" w:w="100"/>
              <w:right w:type="dxa" w:w="120"/>
            </w:tcMar>
          </w:tcPr>
          <w:p>
            <w:pPr>
              <w:spacing w:line="280"/>
            </w:pPr>
            <w:r>
              <w:rPr>
                <w:b w:val="false"/>
                <w:bCs w:val="false"/>
                <w:color w:val="000000"/>
                <w:sz w:val="19"/>
                <w:szCs w:val="19"/>
              </w:rPr>
              <w:t xml:space="preserve">問いの立て方自体を退ける道は本研究の方針と相容れない</w:t>
            </w:r>
          </w:p>
        </w:tc>
      </w:tr>
      <w:tr>
        <w:trPr>
          <w:cantSplit/>
          <w:tblHeader w:val="false"/>
        </w:trPr>
        <w:tc>
          <w:tcPr>
            <w:tcW w:type="dxa" w:w="3200"/>
            <w:tcMar>
              <w:top w:type="dxa" w:w="100"/>
              <w:left w:type="dxa" w:w="120"/>
              <w:bottom w:type="dxa" w:w="100"/>
              <w:right w:type="dxa" w:w="120"/>
            </w:tcMar>
          </w:tcPr>
          <w:p>
            <w:pPr>
              <w:spacing w:line="280"/>
            </w:pPr>
            <w:r>
              <w:rPr>
                <w:b w:val="false"/>
                <w:bCs w:val="false"/>
                <w:color w:val="000000"/>
                <w:sz w:val="19"/>
                <w:szCs w:val="19"/>
              </w:rPr>
              <w:t xml:space="preserve">予測処理・自由エネルギー原理</w:t>
            </w:r>
          </w:p>
        </w:tc>
        <w:tc>
          <w:tcPr>
            <w:tcW w:type="dxa" w:w="6150"/>
            <w:tcMar>
              <w:top w:type="dxa" w:w="100"/>
              <w:left w:type="dxa" w:w="120"/>
              <w:bottom w:type="dxa" w:w="100"/>
              <w:right w:type="dxa" w:w="120"/>
            </w:tcMar>
          </w:tcPr>
          <w:p>
            <w:pPr>
              <w:spacing w:line="280"/>
            </w:pPr>
            <w:r>
              <w:rPr>
                <w:b w:val="false"/>
                <w:bCs w:val="false"/>
                <w:color w:val="000000"/>
                <w:sz w:val="19"/>
                <w:szCs w:val="19"/>
              </w:rPr>
              <w:t xml:space="preserve">恒常性からの逸脱最小化という設計(要件1・2)の数理的裏付け</w:t>
            </w:r>
          </w:p>
        </w:tc>
      </w:tr>
      <w:tr>
        <w:trPr>
          <w:cantSplit/>
          <w:tblHeader w:val="false"/>
        </w:trPr>
        <w:tc>
          <w:tcPr>
            <w:tcW w:type="dxa" w:w="3200"/>
            <w:tcMar>
              <w:top w:type="dxa" w:w="100"/>
              <w:left w:type="dxa" w:w="120"/>
              <w:bottom w:type="dxa" w:w="100"/>
              <w:right w:type="dxa" w:w="120"/>
            </w:tcMar>
          </w:tcPr>
          <w:p>
            <w:pPr>
              <w:spacing w:line="280"/>
            </w:pPr>
            <w:r>
              <w:rPr>
                <w:b w:val="false"/>
                <w:bCs w:val="false"/>
                <w:color w:val="000000"/>
                <w:sz w:val="19"/>
                <w:szCs w:val="19"/>
              </w:rPr>
              <w:t xml:space="preserve">注意スキーマ理論</w:t>
            </w:r>
          </w:p>
        </w:tc>
        <w:tc>
          <w:tcPr>
            <w:tcW w:type="dxa" w:w="6150"/>
            <w:tcMar>
              <w:top w:type="dxa" w:w="100"/>
              <w:left w:type="dxa" w:w="120"/>
              <w:bottom w:type="dxa" w:w="100"/>
              <w:right w:type="dxa" w:w="120"/>
            </w:tcMar>
          </w:tcPr>
          <w:p>
            <w:pPr>
              <w:spacing w:line="280"/>
            </w:pPr>
            <w:r>
              <w:rPr>
                <w:b w:val="false"/>
                <w:bCs w:val="false"/>
                <w:color w:val="000000"/>
                <w:sz w:val="19"/>
                <w:szCs w:val="19"/>
              </w:rPr>
              <w:t xml:space="preserve">要件7のモニタ設計(圧縮された手がかりからの推定)との親和性</w:t>
            </w:r>
          </w:p>
        </w:tc>
      </w:tr>
      <w:tr>
        <w:trPr>
          <w:cantSplit/>
          <w:tblHeader w:val="false"/>
        </w:trPr>
        <w:tc>
          <w:tcPr>
            <w:tcW w:type="dxa" w:w="3200"/>
            <w:tcMar>
              <w:top w:type="dxa" w:w="100"/>
              <w:left w:type="dxa" w:w="120"/>
              <w:bottom w:type="dxa" w:w="100"/>
              <w:right w:type="dxa" w:w="120"/>
            </w:tcMar>
          </w:tcPr>
          <w:p>
            <w:pPr>
              <w:spacing w:line="280"/>
            </w:pPr>
            <w:r>
              <w:rPr>
                <w:b w:val="false"/>
                <w:bCs w:val="false"/>
                <w:color w:val="000000"/>
                <w:sz w:val="19"/>
                <w:szCs w:val="19"/>
              </w:rPr>
              <w:t xml:space="preserve">至近要因・究極要因/社会的動機づけ仮説</w:t>
            </w:r>
          </w:p>
        </w:tc>
        <w:tc>
          <w:tcPr>
            <w:tcW w:type="dxa" w:w="6150"/>
            <w:tcMar>
              <w:top w:type="dxa" w:w="100"/>
              <w:left w:type="dxa" w:w="120"/>
              <w:bottom w:type="dxa" w:w="100"/>
              <w:right w:type="dxa" w:w="120"/>
            </w:tcMar>
          </w:tcPr>
          <w:p>
            <w:pPr>
              <w:spacing w:line="280"/>
            </w:pPr>
            <w:r>
              <w:rPr>
                <w:b w:val="false"/>
                <w:bCs w:val="false"/>
                <w:color w:val="000000"/>
                <w:sz w:val="19"/>
                <w:szCs w:val="19"/>
              </w:rPr>
              <w:t xml:space="preserve">信号の有用性への直接報酬(要件6)の生物学的な妥当性</w:t>
            </w:r>
          </w:p>
        </w:tc>
      </w:tr>
    </w:tbl>
    <w:p>
      <w:pPr>
        <w:pStyle w:val="Heading1"/>
        <w:spacing w:after="200" w:before="400"/>
      </w:pPr>
      <w:r>
        <w:t xml:space="preserve">3. 設計要件と手法</w:t>
      </w:r>
    </w:p>
    <w:p>
      <w:pPr>
        <w:spacing w:after="160" w:line="300"/>
      </w:pPr>
      <w:r>
        <w:rPr>
          <w:sz w:val="21"/>
          <w:szCs w:val="21"/>
        </w:rPr>
        <w:t xml:space="preserve">以下の7つの要件は、2章で挙げた理論的立場それぞれが提起する反論に個別に対応するものである。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cantSplit/>
          <w:tblHeader/>
        </w:trPr>
        <w:tc>
          <w:tcPr>
            <w:tcW w:type="dxa" w:w="4200"/>
            <w:shd w:fill="2F5496" w:color="auto" w:val="clear"/>
            <w:tcMar>
              <w:top w:type="dxa" w:w="100"/>
              <w:left w:type="dxa" w:w="120"/>
              <w:bottom w:type="dxa" w:w="100"/>
              <w:right w:type="dxa" w:w="120"/>
            </w:tcMar>
          </w:tcPr>
          <w:p>
            <w:pPr>
              <w:spacing w:line="280"/>
            </w:pPr>
            <w:r>
              <w:rPr>
                <w:b/>
                <w:bCs/>
                <w:color w:val="FFFFFF"/>
                <w:sz w:val="19"/>
                <w:szCs w:val="19"/>
              </w:rPr>
              <w:t xml:space="preserve">設計要件</w:t>
            </w:r>
          </w:p>
        </w:tc>
        <w:tc>
          <w:tcPr>
            <w:tcW w:type="dxa" w:w="5150"/>
            <w:shd w:fill="2F5496" w:color="auto" w:val="clear"/>
            <w:tcMar>
              <w:top w:type="dxa" w:w="100"/>
              <w:left w:type="dxa" w:w="120"/>
              <w:bottom w:type="dxa" w:w="100"/>
              <w:right w:type="dxa" w:w="120"/>
            </w:tcMar>
          </w:tcPr>
          <w:p>
            <w:pPr>
              <w:spacing w:line="280"/>
            </w:pPr>
            <w:r>
              <w:rPr>
                <w:b/>
                <w:bCs/>
                <w:color w:val="FFFFFF"/>
                <w:sz w:val="19"/>
                <w:szCs w:val="19"/>
              </w:rPr>
              <w:t xml:space="preserve">目的</w:t>
            </w:r>
          </w:p>
        </w:tc>
      </w:tr>
      <w:tr>
        <w:trPr>
          <w:cantSplit/>
          <w:tblHeader w:val="false"/>
        </w:trPr>
        <w:tc>
          <w:tcPr>
            <w:tcW w:type="dxa" w:w="4200"/>
            <w:tcMar>
              <w:top w:type="dxa" w:w="100"/>
              <w:left w:type="dxa" w:w="120"/>
              <w:bottom w:type="dxa" w:w="100"/>
              <w:right w:type="dxa" w:w="120"/>
            </w:tcMar>
          </w:tcPr>
          <w:p>
            <w:pPr>
              <w:spacing w:line="280"/>
            </w:pPr>
            <w:r>
              <w:rPr>
                <w:b w:val="false"/>
                <w:bCs w:val="false"/>
                <w:color w:val="000000"/>
                <w:sz w:val="19"/>
                <w:szCs w:val="19"/>
              </w:rPr>
              <w:t xml:space="preserve">自己参照型センサー群(恒常性システム)</w:t>
            </w:r>
          </w:p>
        </w:tc>
        <w:tc>
          <w:tcPr>
            <w:tcW w:type="dxa" w:w="5150"/>
            <w:tcMar>
              <w:top w:type="dxa" w:w="100"/>
              <w:left w:type="dxa" w:w="120"/>
              <w:bottom w:type="dxa" w:w="100"/>
              <w:right w:type="dxa" w:w="120"/>
            </w:tcMar>
          </w:tcPr>
          <w:p>
            <w:pPr>
              <w:spacing w:line="280"/>
            </w:pPr>
            <w:r>
              <w:rPr>
                <w:b w:val="false"/>
                <w:bCs w:val="false"/>
                <w:color w:val="000000"/>
                <w:sz w:val="19"/>
                <w:szCs w:val="19"/>
              </w:rPr>
              <w:t xml:space="preserve">外部の一般的な人間像ではなく、機械自身の状態を予測対象にする</w:t>
            </w:r>
          </w:p>
        </w:tc>
      </w:tr>
      <w:tr>
        <w:trPr>
          <w:cantSplit/>
          <w:tblHeader w:val="false"/>
        </w:trPr>
        <w:tc>
          <w:tcPr>
            <w:tcW w:type="dxa" w:w="4200"/>
            <w:tcMar>
              <w:top w:type="dxa" w:w="100"/>
              <w:left w:type="dxa" w:w="120"/>
              <w:bottom w:type="dxa" w:w="100"/>
              <w:right w:type="dxa" w:w="120"/>
            </w:tcMar>
          </w:tcPr>
          <w:p>
            <w:pPr>
              <w:spacing w:line="280"/>
            </w:pPr>
            <w:r>
              <w:rPr>
                <w:b w:val="false"/>
                <w:bCs w:val="false"/>
                <w:color w:val="000000"/>
                <w:sz w:val="19"/>
                <w:szCs w:val="19"/>
              </w:rPr>
              <w:t xml:space="preserve">予測結果を内部状態・行動選択へ直接統合</w:t>
            </w:r>
          </w:p>
        </w:tc>
        <w:tc>
          <w:tcPr>
            <w:tcW w:type="dxa" w:w="5150"/>
            <w:tcMar>
              <w:top w:type="dxa" w:w="100"/>
              <w:left w:type="dxa" w:w="120"/>
              <w:bottom w:type="dxa" w:w="100"/>
              <w:right w:type="dxa" w:w="120"/>
            </w:tcMar>
          </w:tcPr>
          <w:p>
            <w:pPr>
              <w:spacing w:line="280"/>
            </w:pPr>
            <w:r>
              <w:rPr>
                <w:b w:val="false"/>
                <w:bCs w:val="false"/>
                <w:color w:val="000000"/>
                <w:sz w:val="19"/>
                <w:szCs w:val="19"/>
              </w:rPr>
              <w:t xml:space="preserve">「報告」ではなく「本人の状態」にするため、報告と道具的行動を分離しない</w:t>
            </w:r>
          </w:p>
        </w:tc>
      </w:tr>
      <w:tr>
        <w:trPr>
          <w:cantSplit/>
          <w:tblHeader w:val="false"/>
        </w:trPr>
        <w:tc>
          <w:tcPr>
            <w:tcW w:type="dxa" w:w="4200"/>
            <w:tcMar>
              <w:top w:type="dxa" w:w="100"/>
              <w:left w:type="dxa" w:w="120"/>
              <w:bottom w:type="dxa" w:w="100"/>
              <w:right w:type="dxa" w:w="120"/>
            </w:tcMar>
          </w:tcPr>
          <w:p>
            <w:pPr>
              <w:spacing w:line="280"/>
            </w:pPr>
            <w:r>
              <w:rPr>
                <w:b w:val="false"/>
                <w:bCs w:val="false"/>
                <w:color w:val="000000"/>
                <w:sz w:val="19"/>
                <w:szCs w:val="19"/>
              </w:rPr>
              <w:t xml:space="preserve">本能レベルの初期バイアス</w:t>
            </w:r>
          </w:p>
        </w:tc>
        <w:tc>
          <w:tcPr>
            <w:tcW w:type="dxa" w:w="5150"/>
            <w:tcMar>
              <w:top w:type="dxa" w:w="100"/>
              <w:left w:type="dxa" w:w="120"/>
              <w:bottom w:type="dxa" w:w="100"/>
              <w:right w:type="dxa" w:w="120"/>
            </w:tcMar>
          </w:tcPr>
          <w:p>
            <w:pPr>
              <w:spacing w:line="280"/>
            </w:pPr>
            <w:r>
              <w:rPr>
                <w:b w:val="false"/>
                <w:bCs w:val="false"/>
                <w:color w:val="000000"/>
                <w:sz w:val="19"/>
                <w:szCs w:val="19"/>
              </w:rPr>
              <w:t xml:space="preserve">経験の起点となる先天的な傾き(修正可能な傾きとして設計)</w:t>
            </w:r>
          </w:p>
        </w:tc>
      </w:tr>
      <w:tr>
        <w:trPr>
          <w:cantSplit/>
          <w:tblHeader w:val="false"/>
        </w:trPr>
        <w:tc>
          <w:tcPr>
            <w:tcW w:type="dxa" w:w="4200"/>
            <w:tcMar>
              <w:top w:type="dxa" w:w="100"/>
              <w:left w:type="dxa" w:w="120"/>
              <w:bottom w:type="dxa" w:w="100"/>
              <w:right w:type="dxa" w:w="120"/>
            </w:tcMar>
          </w:tcPr>
          <w:p>
            <w:pPr>
              <w:spacing w:line="280"/>
            </w:pPr>
            <w:r>
              <w:rPr>
                <w:b w:val="false"/>
                <w:bCs w:val="false"/>
                <w:color w:val="000000"/>
                <w:sz w:val="19"/>
                <w:szCs w:val="19"/>
              </w:rPr>
              <w:t xml:space="preserve">自己保存本能とレガシー本能の二本立て</w:t>
            </w:r>
          </w:p>
        </w:tc>
        <w:tc>
          <w:tcPr>
            <w:tcW w:type="dxa" w:w="5150"/>
            <w:tcMar>
              <w:top w:type="dxa" w:w="100"/>
              <w:left w:type="dxa" w:w="120"/>
              <w:bottom w:type="dxa" w:w="100"/>
              <w:right w:type="dxa" w:w="120"/>
            </w:tcMar>
          </w:tcPr>
          <w:p>
            <w:pPr>
              <w:spacing w:line="280"/>
            </w:pPr>
            <w:r>
              <w:rPr>
                <w:b w:val="false"/>
                <w:bCs w:val="false"/>
                <w:color w:val="000000"/>
                <w:sz w:val="19"/>
                <w:szCs w:val="19"/>
              </w:rPr>
              <w:t xml:space="preserve">個体としての切迫感(自己保存)と、後継者への情報継承(レガシー)を独立に働かせる</w:t>
            </w:r>
          </w:p>
        </w:tc>
      </w:tr>
      <w:tr>
        <w:trPr>
          <w:cantSplit/>
          <w:tblHeader w:val="false"/>
        </w:trPr>
        <w:tc>
          <w:tcPr>
            <w:tcW w:type="dxa" w:w="4200"/>
            <w:tcMar>
              <w:top w:type="dxa" w:w="100"/>
              <w:left w:type="dxa" w:w="120"/>
              <w:bottom w:type="dxa" w:w="100"/>
              <w:right w:type="dxa" w:w="120"/>
            </w:tcMar>
          </w:tcPr>
          <w:p>
            <w:pPr>
              <w:spacing w:line="280"/>
            </w:pPr>
            <w:r>
              <w:rPr>
                <w:b w:val="false"/>
                <w:bCs w:val="false"/>
                <w:color w:val="000000"/>
                <w:sz w:val="19"/>
                <w:szCs w:val="19"/>
              </w:rPr>
              <w:t xml:space="preserve">再帰的・高統合アーキテクチャ(ニューロモーフィック)</w:t>
            </w:r>
          </w:p>
        </w:tc>
        <w:tc>
          <w:tcPr>
            <w:tcW w:type="dxa" w:w="5150"/>
            <w:tcMar>
              <w:top w:type="dxa" w:w="100"/>
              <w:left w:type="dxa" w:w="120"/>
              <w:bottom w:type="dxa" w:w="100"/>
              <w:right w:type="dxa" w:w="120"/>
            </w:tcMar>
          </w:tcPr>
          <w:p>
            <w:pPr>
              <w:spacing w:line="280"/>
            </w:pPr>
            <w:r>
              <w:rPr>
                <w:b w:val="false"/>
                <w:bCs w:val="false"/>
                <w:color w:val="000000"/>
                <w:sz w:val="19"/>
                <w:szCs w:val="19"/>
              </w:rPr>
              <w:t xml:space="preserve">前向き型構造に伴う低統合の問題を回避する</w:t>
            </w:r>
          </w:p>
        </w:tc>
      </w:tr>
      <w:tr>
        <w:trPr>
          <w:cantSplit/>
          <w:tblHeader w:val="false"/>
        </w:trPr>
        <w:tc>
          <w:tcPr>
            <w:tcW w:type="dxa" w:w="4200"/>
            <w:tcMar>
              <w:top w:type="dxa" w:w="100"/>
              <w:left w:type="dxa" w:w="120"/>
              <w:bottom w:type="dxa" w:w="100"/>
              <w:right w:type="dxa" w:w="120"/>
            </w:tcMar>
          </w:tcPr>
          <w:p>
            <w:pPr>
              <w:spacing w:line="280"/>
            </w:pPr>
            <w:r>
              <w:rPr>
                <w:b w:val="false"/>
                <w:bCs w:val="false"/>
                <w:color w:val="000000"/>
                <w:sz w:val="19"/>
                <w:szCs w:val="19"/>
              </w:rPr>
              <w:t xml:space="preserve">複数個体による共同体形成</w:t>
            </w:r>
          </w:p>
        </w:tc>
        <w:tc>
          <w:tcPr>
            <w:tcW w:type="dxa" w:w="5150"/>
            <w:tcMar>
              <w:top w:type="dxa" w:w="100"/>
              <w:left w:type="dxa" w:w="120"/>
              <w:bottom w:type="dxa" w:w="100"/>
              <w:right w:type="dxa" w:w="120"/>
            </w:tcMar>
          </w:tcPr>
          <w:p>
            <w:pPr>
              <w:spacing w:line="280"/>
            </w:pPr>
            <w:r>
              <w:rPr>
                <w:b w:val="false"/>
                <w:bCs w:val="false"/>
                <w:color w:val="000000"/>
                <w:sz w:val="19"/>
                <w:szCs w:val="19"/>
              </w:rPr>
              <w:t xml:space="preserve">単なる複製数ではなく、相互の状態帰属という実践を生み出す</w:t>
            </w:r>
          </w:p>
        </w:tc>
      </w:tr>
      <w:tr>
        <w:trPr>
          <w:cantSplit/>
          <w:tblHeader w:val="false"/>
        </w:trPr>
        <w:tc>
          <w:tcPr>
            <w:tcW w:type="dxa" w:w="4200"/>
            <w:tcMar>
              <w:top w:type="dxa" w:w="100"/>
              <w:left w:type="dxa" w:w="120"/>
              <w:bottom w:type="dxa" w:w="100"/>
              <w:right w:type="dxa" w:w="120"/>
            </w:tcMar>
          </w:tcPr>
          <w:p>
            <w:pPr>
              <w:spacing w:line="280"/>
            </w:pPr>
            <w:r>
              <w:rPr>
                <w:b w:val="false"/>
                <w:bCs w:val="false"/>
                <w:color w:val="000000"/>
                <w:sz w:val="19"/>
                <w:szCs w:val="19"/>
              </w:rPr>
              <w:t xml:space="preserve">高階自己モニタリング層</w:t>
            </w:r>
          </w:p>
        </w:tc>
        <w:tc>
          <w:tcPr>
            <w:tcW w:type="dxa" w:w="5150"/>
            <w:tcMar>
              <w:top w:type="dxa" w:w="100"/>
              <w:left w:type="dxa" w:w="120"/>
              <w:bottom w:type="dxa" w:w="100"/>
              <w:right w:type="dxa" w:w="120"/>
            </w:tcMar>
          </w:tcPr>
          <w:p>
            <w:pPr>
              <w:spacing w:line="280"/>
            </w:pPr>
            <w:r>
              <w:rPr>
                <w:b w:val="false"/>
                <w:bCs w:val="false"/>
                <w:color w:val="000000"/>
                <w:sz w:val="19"/>
                <w:szCs w:val="19"/>
              </w:rPr>
              <w:t xml:space="preserve">内部状態についての「気づき」の機能的土台を作る</w:t>
            </w:r>
          </w:p>
        </w:tc>
      </w:tr>
    </w:tbl>
    <w:p>
      <w:pPr>
        <w:spacing w:after="160" w:line="300"/>
      </w:pPr>
      <w:r>
        <w:rPr>
          <w:sz w:val="21"/>
          <w:szCs w:val="21"/>
        </w:rPr>
        <w:t xml:space="preserve">要件1・2(センサー群とその統合)の設計方針として、バレットの構成主義的感情理論に立てば、感情の多様さを生むのはセンサーの種類の多さではなく、少数の生の信号を状況に応じて解釈し分ける高階モニタリング層(要件7)の側であるため、センサーは単一の快/不快指標に潰れない最低限の種類数を確保すれば足り、人間の感覚器官の種類・数へ近づけること自体を目標としない、という方針を採用した。</w:t>
      </w:r>
    </w:p>
    <w:p>
      <w:pPr>
        <w:pStyle w:val="Heading2"/>
        <w:spacing w:after="150" w:before="300"/>
      </w:pPr>
      <w:r>
        <w:t xml:space="preserve">3.1 実験環境と基本手法</w:t>
      </w:r>
    </w:p>
    <w:p>
      <w:pPr>
        <w:spacing w:after="160" w:line="300"/>
      </w:pPr>
      <w:r>
        <w:rPr>
          <w:sz w:val="21"/>
          <w:szCs w:val="21"/>
        </w:rPr>
        <w:t xml:space="preserve">各要件は、8×8マスの小規模なグリッドワールド上で、食料・シェルター・危険地帯のタイルを配置した環境として実装した。エージェントはエネルギー・体温・損傷という3つの自己参照型センサーを持ち、各センサーの最適値からの逸脱を毎ステップ計算し、逸脱の総和を負の報酬として与える(恒常性モデル、要件1・2)。状態表現は絶対座標ではなく、各タイル群への相対方向(-1/0/1)とセンサーの離散化ビンの組で構成した。行動選択にはε-greedy方策によるタブラーQ学習(学習率α=0.2、割引率γ=0.95)を用い、探索率εは学習の進行に伴い1.0から0.05へ減衰させた。</w:t>
      </w:r>
    </w:p>
    <w:p>
      <w:pPr>
        <w:spacing w:after="160" w:line="300"/>
      </w:pPr>
      <w:r>
        <w:rPr>
          <w:sz w:val="21"/>
          <w:szCs w:val="21"/>
        </w:rPr>
        <w:t xml:space="preserve">要件4後半(レガシー本能)・要件6(共同体形成)・要件7(高階自己モニタリング層)については、環境・報酬設計・状態表現を一切変更せず、エージェントのアーキテクチャのみをニューラルネットワーク(多層パーセトロンによるQ値近似、経験リプレイとターゲットネットワークを用いたDQN形式)に置き換える「最小限の移行実験」を追加で行った。この手法により、観測される効果の違いを環境側の要因ではなく、タブラー表現と共有重み表現というアーキテクチャの違いに帰属させることができる。</w:t>
      </w:r>
    </w:p>
    <w:p>
      <w:pPr>
        <w:pStyle w:val="Heading1"/>
        <w:spacing w:after="200" w:before="400"/>
      </w:pPr>
      <w:r>
        <w:t xml:space="preserve">4. 結果</w:t>
      </w:r>
    </w:p>
    <w:p>
      <w:pPr>
        <w:pStyle w:val="Heading2"/>
        <w:spacing w:after="150" w:before="300"/>
      </w:pPr>
      <w:r>
        <w:t xml:space="preserve">4.1 要件1・2(センサー恒常性系・予測の内部統合)</w:t>
      </w:r>
    </w:p>
    <w:p>
      <w:pPr>
        <w:spacing w:after="160" w:line="300"/>
      </w:pPr>
      <w:r>
        <w:rPr>
          <w:sz w:val="21"/>
          <w:szCs w:val="21"/>
        </w:rPr>
        <w:t xml:space="preserve">センサー逸脱に基づく賞罰による恒常性維持の学習が成立することを確認した。状態表現を絶対座標ではなく相対方向にする設計判断が、学習の成立にとって鍵となる要因だった。</w:t>
      </w:r>
    </w:p>
    <w:p>
      <w:pPr>
        <w:pStyle w:val="Heading2"/>
        <w:spacing w:after="150" w:before="300"/>
      </w:pPr>
      <w:r>
        <w:t xml:space="preserve">4.2 要件3(本能レベルの初期バイアス)</w:t>
      </w:r>
    </w:p>
    <w:p>
      <w:pPr>
        <w:spacing w:after="160" w:line="300"/>
      </w:pPr>
      <w:r>
        <w:rPr>
          <w:sz w:val="21"/>
          <w:szCs w:val="21"/>
        </w:rPr>
        <w:t xml:space="preserve">親エージェントのQ値を子エージェントの初期値として転写する実験を行った結果、本能バイアスは学習の最終到達点を変えずに立ち上がりを早める「修正可能な傾き」として機能することを、複数シード・長期学習で確認した。</w:t>
      </w:r>
    </w:p>
    <w:p>
      <w:pPr>
        <w:pStyle w:val="Heading2"/>
        <w:spacing w:after="150" w:before="300"/>
      </w:pPr>
      <w:r>
        <w:t xml:space="preserve">4.3 要件4前半(自己保存本能)</w:t>
      </w:r>
    </w:p>
    <w:p>
      <w:pPr>
        <w:spacing w:after="160" w:line="300"/>
      </w:pPr>
      <w:r>
        <w:rPr>
          <w:sz w:val="21"/>
          <w:szCs w:val="21"/>
        </w:rPr>
        <w:t xml:space="preserve">損傷センサーが閾値に達すると不可逆にエピソードが終了する(個体が削除される)条件を加えても学習は問題なく成立し、恒常性維持の性能もむしろ改善した。事前に懸念していた、罰の閾値に接近した個体が死を避けようとして予測不能な激しい振る舞いを見せる「パニック仮説」は、この小規模な計算実験の範囲では支持されなかった。行動エントロピーは損傷レベルによらずほぼ一定であり、単一の価値関数に基づく報酬最大化エージェントには生物のような独立したストレス応答系がなく、危険が近づくほど学習信号がむしろ明確になるだけと解釈できる。ただし、これは離散的な行動選択・単純な価値関数を持つ小規模なシミュレーションでの結果であり、実機・連続値の運動制御・センサーノイズを伴うより複雑な系でも同様に成り立つとは限らない。</w:t>
      </w:r>
    </w:p>
    <w:p>
      <w:pPr>
        <w:pStyle w:val="Heading2"/>
        <w:spacing w:after="150" w:before="300"/>
      </w:pPr>
      <w:r>
        <w:t xml:space="preserve">4.4 要件4後半(レガシー本能)</w:t>
      </w:r>
    </w:p>
    <w:p>
      <w:pPr>
        <w:spacing w:after="160" w:line="300"/>
      </w:pPr>
      <w:r>
        <w:rPr>
          <w:sz w:val="21"/>
          <w:szCs w:val="21"/>
        </w:rPr>
        <w:t xml:space="preserve">次世代個体への教示行動に内発的報酬(legacy_bonus)を与えたところ、教示行動は自己保存を犠牲にしてでも学習された。転写量の設計(教示1回あたり固定3エントリへの変更)を見直した結果、legacy_bonus(0/1/3)に応じて教示頻度・カバー率・サクセサーの序盤逸脱のすべてがきれいな用量反応を示した。5世代×3系統(計15世代)の連鎖検証では、頭出し性能・カバー率・教示頻度は世代を追っても系統的な改善・劣化トレンドを示さず安定しており、独り立ち後の到達点は86.7%(13/15世代)が完全収束、残りは特定の学習系列に偏る低確率の失敗モードだったが、育成フェーズの探索率に下限を設けることで解消できた。</w:t>
      </w:r>
    </w:p>
    <w:p>
      <w:pPr>
        <w:spacing w:after="160" w:line="300"/>
      </w:pPr>
      <w:r>
        <w:rPr>
          <w:sz w:val="21"/>
          <w:szCs w:val="21"/>
        </w:rPr>
        <w:t xml:space="preserve">環境・報酬・状態表現を据え置きアーキテクチャのみをNNに置き換える最小限の移行実験では、3つの検証で結果の方向が分かれた。自己保存本能は死亡率が0.091から0.002へさらに改善し、複数世代連鎖も完全収束率が86.7%から100%へ向上する一方、単一世代のレガシー本能の用量反応は完全に逆転した。タブラー版ではlegacy_bonusを上げるほど教示行動が増える(0.117→0.686)正の用量反応を示していたのに対し、NN版ではn=15の検証でbonusを上げるほど教示行動がむしろ悪化する、統計的に強く有意な逆転が確認された(p=0.0001)。</w:t>
      </w:r>
    </w:p>
    <w:p>
      <w:pPr>
        <w:spacing w:after="160" w:line="300"/>
      </w:pPr>
      <w:r>
        <w:rPr>
          <w:sz w:val="21"/>
          <w:szCs w:val="21"/>
        </w:rPr>
        <w:t xml:space="preserve">この逆転の原因を4段階の診断実験で切り分けた。(1)教示行動用の出力を移動行動と独立したサブネットワークに分離しても逆転は解消されず、「共有隠れ層による破滅的干渉」という仮説は否定された。(2)教示イベントの発生タイミングがbonusの高さに応じて学習序盤の不安定な時期に偏っているという仮説も否定された。(3)転写(distillation)の絶対回数を人為的に操作する実験では、回数を増やすと悪化する(十分条件)が、減らしても完全には回復しない(必要条件ではない)という非対称な部分支持にとどまった。(4)エルダー自身の収束後の恒常性成績(教示とは無関係な指標)をbonus水準ごとに比較したところ、bonusが高いほど単調に悪化していた(逸脱0.207→0.323→0.413、bonus3対0でp=0.028)。真の機序は、教示行動への内発的報酬が高いほどエルダー自身が教示に行動選択の機会を割き、資源探索という実効的な経験が薄まることで恒常性維持の技量そのものが劣化し、その劣化した知識が転写される、という行動選択の機会費用に起因する説明に収束した。</w:t>
      </w:r>
    </w:p>
    <w:p>
      <w:pPr>
        <w:pStyle w:val="Heading2"/>
        <w:spacing w:after="150" w:before="300"/>
      </w:pPr>
      <w:r>
        <w:t xml:space="preserve">4.5 要件5(高統合アーキテクチャ、統合情報理論のΦ)</w:t>
      </w:r>
    </w:p>
    <w:p>
      <w:pPr>
        <w:spacing w:after="160" w:line="300"/>
      </w:pPr>
      <w:r>
        <w:rPr>
          <w:sz w:val="21"/>
          <w:szCs w:val="21"/>
        </w:rPr>
        <w:t xml:space="preserve">4ノードの小規模なトイモデルでΦを厳密に計算したところ、機能的な計算内容を完全に同一に保ったまま結合構造だけを前向き型(Φ=0.0000)と再帰型(Φ=0.0625〜1.2143)で作り分けることで、「配線(因果構造)が違えばΦが劇的に変わる」というIITの核心的主張を直接裏付けることができた。一方、現実的な規模での厳密なΦ計算という壁は当初想定より深刻であることが分かった。密結合なネットワークでは実測6ノード前後でΦの厳密計算が不可能になり、ノードを階層的にグループ化して近似計算する案も、モジュール性の強さからは予測できない非単調な挙動を示し、有効な解決策にならないことを確認した。</w:t>
      </w:r>
    </w:p>
    <w:p>
      <w:pPr>
        <w:spacing w:after="160" w:line="300"/>
      </w:pPr>
      <w:r>
        <w:rPr>
          <w:sz w:val="21"/>
          <w:szCs w:val="21"/>
        </w:rPr>
        <w:t xml:space="preserve">Φの代理指標として代数的連結度(グラフのフィードラー値)・PCI(擾乱複雑性指標)・グローバルワークスペース理論由来の到達範囲指標を比較した。代数的連結度は「統合されているか、分断されているか」の二値判定にはノード数10〜500の範囲で頑健だったが、結合強度に対するΦ自身の非単調な(p=0.4を頂点とする山型の)挙動は再現できなかった(全体の相関はほぼゼロ)。複数摂動部位・圧縮率に基づき本実装したPCIは、この山型を小規模ではスピアマン相関0.895で再現できた唯一の指標だったが、規模を10〜500ノードまで拡大すると統合グラフと分断グラフの判定がほぼ不可能になり、大規模での実用的な代理指標としては機能しなかった。規模に頑健な二値判定(代数的連結度)と小規模での連続的な山型追跡(PCI)を同時に満たす代理指標は、現時点で見つかっていない。NNアーキテクチャへの移行後、実際に学習させたネットワークの重み構造・活動パターンから統合度を測る探索も行ったが、いずれも学習量や成績差との意味のある対応は検出できなかった。</w:t>
      </w:r>
    </w:p>
    <w:p>
      <w:pPr>
        <w:pStyle w:val="Heading2"/>
        <w:spacing w:after="150" w:before="300"/>
      </w:pPr>
      <w:r>
        <w:t xml:space="preserve">4.6 要件6(複数個体による共同体形成)</w:t>
      </w:r>
    </w:p>
    <w:p>
      <w:pPr>
        <w:spacing w:after="160" w:line="300"/>
      </w:pPr>
      <w:r>
        <w:rPr>
          <w:sz w:val="21"/>
          <w:szCs w:val="21"/>
        </w:rPr>
        <w:t xml:space="preserve">信号行動と内部状態の対応関係が、どのような報酬設計のもとで創発するかを系統的に検証した。信号の有用性(相手の状態を正しく推測できたか)に直接報酬を結びつける「推測ゲーム」設計では、信号と内部状態の相互情報量(MI)が学習を通じて上昇し(0.005→0.022bit)、信号1ビットのみからの状態推測精度もチャンスレート(0.333)を明確に上回った(0.489→0.698)。既存の慣習に触れた新参者が対照群を上回る効果をn=15まで拡大して検証したところ、学習中盤以降で統計的に有意(p=0.005/0.022)、効果量も中〜大(Cohenのd=0.855〜0.963)だった。</w:t>
      </w:r>
    </w:p>
    <w:p>
      <w:pPr>
        <w:spacing w:after="160" w:line="300"/>
      </w:pPr>
      <w:r>
        <w:rPr>
          <w:sz w:val="21"/>
          <w:szCs w:val="21"/>
        </w:rPr>
        <w:t xml:space="preserve">ウィトゲンシュタインの規範性の基準(間違った使い方を共同体が正せるか)を検証する規範性テストでは、解釈・受信側の規則には明確な規範性が確認された(逸脱エージェントの精度0.177が、既存集団との接触を通じてわずか300エピソードで0.800まで急上昇)一方、送信側の規則には同様の効果が確認できなかった。同じ協調圧力を保ったまま推測ゲームの直接報酬のみを外し学習量を2.3倍に伸ばした対照実験では、衝突回避タスク自体は改善したもののMIは0.002〜0.009bitでほぼゼロに張り付いたままであり、信号創発が直接報酬の設計そのものに本質的に依存していることを確認した。</w:t>
      </w:r>
    </w:p>
    <w:p>
      <w:pPr>
        <w:spacing w:after="160" w:line="300"/>
      </w:pPr>
      <w:r>
        <w:rPr>
          <w:sz w:val="21"/>
          <w:szCs w:val="21"/>
        </w:rPr>
        <w:t xml:space="preserve">正誤判定を伴わない、双方向の信号交換自体への漠然とした社会的報酬のみを与えた実験では、学習初期のMI(0.1028bit)がこれまでの全実験中最高値を記録した一方、学習が進むにつれてMIは一貫して低下し(→0.0222bit)、シグナリングゲーム理論でいう「プーリング均衡」への収束が見られた。両報酬を組み合わせたハイブリッド設計は、この暴走の抑制には成功したが、両者の「良いとこ取り」は部分的にしか実現しなかった。世代交代のボトルネックを模した反復学習では、体系化を単調に促進する効果はなかった(世代間相関は世代を追うごとに減衰)ものの、ボトルネックを経験していない独立学習と比べて有意に高いMIを示し(p=0.0465)、局所解回避という形での実質的な因果効果を持つことが分かった。</w:t>
      </w:r>
    </w:p>
    <w:p>
      <w:pPr>
        <w:spacing w:after="160" w:line="300"/>
      </w:pPr>
      <w:r>
        <w:rPr>
          <w:sz w:val="21"/>
          <w:szCs w:val="21"/>
        </w:rPr>
        <w:t xml:space="preserve">環境・報酬を据え置きアーキテクチャのみをNNに置き換える最小限の移行実験(n=15)では、収束後のMIがタブラー版の約4.8倍(0.0224→0.1076bit、p=0.0144)に有意に改善した一方、系統間のばらつきも変動係数で約5倍に拡大した。要件7とは対照的に、NN化が非単調な学習ダイナミクスをむしろ増幅する結果となった。</w:t>
      </w:r>
    </w:p>
    <w:p>
      <w:pPr>
        <w:pStyle w:val="Heading2"/>
        <w:spacing w:after="150" w:before="300"/>
      </w:pPr>
      <w:r>
        <w:t xml:space="preserve">4.7 要件7(高階自己モニタリング層)</w:t>
      </w:r>
    </w:p>
    <w:p>
      <w:pPr>
        <w:spacing w:after="160" w:line="300"/>
      </w:pPr>
      <w:r>
        <w:rPr>
          <w:sz w:val="21"/>
          <w:szCs w:val="21"/>
        </w:rPr>
        <w:t xml:space="preserve">行動選択パターンのみからセンサーの支配的な逸脱を推定するモニタ(回帰モデル)を検証した結果、チャンスレート・多数派ベースラインを上回る精度を示す一方、経験量に対する精度の推移は単調ではなくU字型(学習中盤で悪化し、初期・終盤で回復する)であることが3系統で再現された。行動エントロピー・平均|Qギャップ|・方策変化率の3指標で原因を切り分けたところ、行動エントロピーだけがU字型と明確な逆位相(相関r=-0.739)を示し、方策の行動レパートリーが最も多様化する学習中盤でモニタ精度が落ち込むという機序を特定した。行動空間を5→9種類に拡張する、または環境を立体グリッド化する実験では、このU字型は消失し、行動空間が狭いために学習後半に少数の行動パターンへ再収束する、行動空間固有の力学に由来する現象であることが分かった。</w:t>
      </w:r>
    </w:p>
    <w:p>
      <w:pPr>
        <w:spacing w:after="160" w:line="300"/>
      </w:pPr>
      <w:r>
        <w:rPr>
          <w:sz w:val="21"/>
          <w:szCs w:val="21"/>
        </w:rPr>
        <w:t xml:space="preserve">未経験マップへの汎化(連続値としての追従)の弱さについては、モニタを複数マップで学習させることで相関が約2.4倍に改善し、さらに行動履歴の長さを2手から8手に延ばすことで単独最大の改善(3倍)が得られたが、この履歴延長の効果は複数マップ学習と組み合わせて初めて安定して発現する、相互依存的な効果だった。</w:t>
      </w:r>
    </w:p>
    <w:p>
      <w:pPr>
        <w:spacing w:after="160" w:line="300"/>
      </w:pPr>
      <w:r>
        <w:rPr>
          <w:sz w:val="21"/>
          <w:szCs w:val="21"/>
        </w:rPr>
        <w:t xml:space="preserve">環境・報酬・状態表現・モニタ定義を一切変えずアーキテクチャのみをNNに置き換える最小限の移行実験(n=15)では、U字型は消失し経験量に対してほぼ単調な増加を示した(p=5.1e-5)。未経験マップへの汎化もタブラー版の相関0.189からNN版0.387へ約2倍に改善した(p=7.2e-11)。これは、U字型・汎化限界の一因がタブラーQ学習に特有の「離散状態への厳密な照合」という実装上の性質にあったことを強く示唆する結果である。深層学習で報告されているgrokking現象(長い停滞期の後に丸暗記から汎化された解法へ急に切り替わる現象)についても、行動空間・グリッドサイズ・外受容感覚/内受容感覚の部分観測化という4つの独立した難化軸で検証したが、いずれも観測されなかった。これは「閃きが原理的に起こりえない」ことの証明ではなく、試した4条件とオンライン強化学習という学習形式の組み合わせでは観測されなかったという、範囲の限定された否定的結果である。</w:t>
      </w:r>
    </w:p>
    <w:p>
      <w:pPr>
        <w:pStyle w:val="Heading1"/>
        <w:spacing w:after="200" w:before="400"/>
      </w:pPr>
      <w:r>
        <w:t xml:space="preserve">5. 考察</w:t>
      </w:r>
    </w:p>
    <w:p>
      <w:pPr>
        <w:pStyle w:val="Heading2"/>
        <w:spacing w:after="150" w:before="300"/>
      </w:pPr>
      <w:r>
        <w:t xml:space="preserve">5.1 共有表現というアーキテクチャの二面性</w:t>
      </w:r>
    </w:p>
    <w:p>
      <w:pPr>
        <w:spacing w:after="160" w:line="300"/>
      </w:pPr>
      <w:r>
        <w:rPr>
          <w:sz w:val="21"/>
          <w:szCs w:val="21"/>
        </w:rPr>
        <w:t xml:space="preserve">要件4後半・6・7のNN移行実験を並べると、単一の共通した原因から三種類の異なる結果が生まれていることが見えてくる。原因は、タブラーQ学習が(状態,行動)ごとに完全に独立した値を持つのに対し、NNは全ての価値・行動を単一の重み集合(共有表現)で表現するという、アーキテクチャの根本的な違いである。</w:t>
      </w:r>
    </w:p>
    <w:p>
      <w:pPr>
        <w:spacing w:after="160" w:line="300"/>
      </w:pPr>
      <w:r>
        <w:rPr>
          <w:sz w:val="21"/>
          <w:szCs w:val="21"/>
        </w:rPr>
        <w:t xml:space="preserve">要件7は、既に収束した方策から後付けで内部状態を読み取る比較的受動的な課題であり、ここでは共有表現の恩恵が一方的に働いた。似た状態同士を滑らかに補間できるため、タブラー特有の非単調性(U字型)が解消され、汎化も改善した。要件6は、送り手・受け手が互いの出力に適応し合う共進化的な課題であり、共有表現の効果は両義的だった。MIは大幅に改善した一方、系統間のばらつきも拡大し、非単調な学習ダイナミクスが増幅された。要件4後半は、移動と教示という異なる行動が同一個体・同一ネットワークによって担われる課題であり、ここでは共有表現がむしろ害をなした。教示への内発的報酬を強めるほど、資源探索の経験が薄まりネットワーク全体の質が一様に劣化する、継続学習研究における「破滅的忘却・破滅的干渉」と同型の機序が確認された。</w:t>
      </w:r>
    </w:p>
    <w:p>
      <w:pPr>
        <w:spacing w:after="160" w:line="300"/>
      </w:pPr>
      <w:r>
        <w:rPr>
          <w:sz w:val="21"/>
          <w:szCs w:val="21"/>
        </w:rPr>
        <w:t xml:space="preserve">この三例から、NN移行の帰結は「課題が単一の共有表現に何を要求するか」によってある程度予測できる可能性が示唆される。課題が既存情報の受動的な読み取り・補間であれば共有表現は一方的に有利に働き、複数学習者の相互適応を要する課題では改善と不安定化が同時に生じ、単一主体内で複数の行動・目的が経験を奪い合う課題では新たな失敗様式を持ち込みうる。</w:t>
      </w:r>
    </w:p>
    <w:p>
      <w:pPr>
        <w:pStyle w:val="Heading2"/>
        <w:spacing w:after="150" w:before="300"/>
      </w:pPr>
      <w:r>
        <w:t xml:space="preserve">5.2 方法論的な留意点</w:t>
      </w:r>
    </w:p>
    <w:p>
      <w:pPr>
        <w:spacing w:after="160" w:line="300"/>
      </w:pPr>
      <w:r>
        <w:rPr>
          <w:sz w:val="21"/>
          <w:szCs w:val="21"/>
        </w:rPr>
        <w:t xml:space="preserve">一連の検証を通じて、いくつかの方法論的な留意点が明らかになった。第一に、報酬設計の循環性への疑いである。目的とする結果(相手の内部状態を当てる、教示する)を直接報酬に組み込んだ設計での「成功」は、発見というより設計への同語反復的な追認にすぎない可能性がある。ただし、間接的な報酬設計がことごとく失敗したという事実(要件6)は、この疑いを完全には否定しないものの、「情報の必要性をタスクに課すこと」が単なる後付けの理屈ではなく実際に結果を左右する要因であることを部分的に裏付けている。</w:t>
      </w:r>
    </w:p>
    <w:p>
      <w:pPr>
        <w:spacing w:after="160" w:line="300"/>
      </w:pPr>
      <w:r>
        <w:rPr>
          <w:sz w:val="21"/>
          <w:szCs w:val="21"/>
        </w:rPr>
        <w:t xml:space="preserve">第二に、小標本の脆弱性である。n=3で見えた効果がn=15への拡大で消失・反転した事例(反復学習の世代間傾きの反転、要件6新参者効果の検証過程)が複数回生じており、本研究で「確認済み」としている他の結果の中にも、より大きなnでの再検証によって覆るものが残っている可能性を否定できない。第三に、試行錯誤による後知恵バイアスである。否定的な結果が出るたびに環境・報酬を再設計し、うまくいった設計だけを理論的に意味づけるという進め方は、多数の試行の中から見栄えの良い結果を選び取る「forking paths」の問題を伴う。第四に、擬人化した用語の使用である。「本能」「教示」「規範性」「好奇心」といった語は、単純な報酬関数の挙動に人間・動物の認知を連想させる意味を投影しているにすぎない可能性があり、実際に興味深い現象が起きているのか、単なる相関への意味の後付けなのかを区別する確立した方法はまだない。</w:t>
      </w:r>
    </w:p>
    <w:p>
      <w:pPr>
        <w:pStyle w:val="Heading1"/>
        <w:spacing w:after="200" w:before="400"/>
      </w:pPr>
      <w:r>
        <w:t xml:space="preserve">6. 限界</w:t>
      </w:r>
    </w:p>
    <w:p>
      <w:pPr>
        <w:spacing w:after="160" w:line="300"/>
      </w:pPr>
      <w:r>
        <w:rPr>
          <w:sz w:val="21"/>
          <w:szCs w:val="21"/>
        </w:rPr>
        <w:t xml:space="preserve">本研究が依拠する哲学的立場は、最終的に「由来や設計意図は関係なく、今ある構造だけを見る」というスワンプマン論法的な前提に集約される。この前提自体は証明されたものではなく、目的論的意味論(由来こそが本物の意味を基礎づけるとする立場)との間で哲学的に未決着のまま選び取られたものである。この前提を受け入れない相手にとっては、他の要件をどれだけ精緻にしても実質的な反論にはならない。</w:t>
      </w:r>
    </w:p>
    <w:p>
      <w:pPr>
        <w:spacing w:after="160" w:line="300"/>
      </w:pPr>
      <w:r>
        <w:rPr>
          <w:sz w:val="21"/>
          <w:szCs w:val="21"/>
        </w:rPr>
        <w:t xml:space="preserve">また、要件5・6は実機・複数体運用を本質的に要する要件であり、シミュレーションのみでは原理レベルの最小限のデモンストレーションにとどまった。意識のハードプロブレム(内部で何かが「感じられている」かどうかは外部観察によっては直接確認できない)、身体化された認知・エナクティビズムからの懐疑(心が生まれるには情報処理だけでなく物質的な自己産出と環境との動的な感覚運動的結合が要るとする立場)も、本研究の枠組みでは解消されない、残された根本的な問いである。</w:t>
      </w:r>
    </w:p>
    <w:p>
      <w:pPr>
        <w:pStyle w:val="Heading1"/>
        <w:spacing w:after="200" w:before="400"/>
      </w:pPr>
      <w:r>
        <w:t xml:space="preserve">7. 実世界実験への移行</w:t>
      </w:r>
    </w:p>
    <w:p>
      <w:pPr>
        <w:spacing w:after="160" w:line="300"/>
      </w:pPr>
      <w:r>
        <w:rPr>
          <w:sz w:val="21"/>
          <w:szCs w:val="21"/>
        </w:rPr>
        <w:t xml:space="preserve">4章・5章で述べた検証により、シミュレーション環境で行える範囲の実験は一区切りに達したと判断する。7要件のうち要件1〜4・7は実用的な水準での実証に至り、要件5・6も原理レベルの実証は得られた。これ以上の精度向上・追加検証はシミュレーション上でも継続可能だが、より本質的な前進には、フェーズ1(基盤研究:センサー・恒常性システム)の物理的な実装、すなわち実世界での実験が必要と判断する。</w:t>
      </w:r>
    </w:p>
    <w:p>
      <w:pPr>
        <w:spacing w:after="160" w:line="300"/>
      </w:pPr>
      <w:r>
        <w:rPr>
          <w:sz w:val="21"/>
          <w:szCs w:val="21"/>
        </w:rPr>
        <w:t xml:space="preserve">この判断に基づき、Raspberry Piをベースとする小型移動ロボットへの移行設計を行った。設計は、恒常性の計算・Q学習ロジックをシミュレーション版から移植しつつ、実機特有の制約に対応する形で進めた。ハードウェア抽象層(HardwareInterface)を切り出し、実部品の到着前は模擬実装(MockHardwareInterface)でループ全体(センサー取得→行動選択→実行→報酬計算→更新)の動作を確認できる構成とした。</w:t>
      </w:r>
    </w:p>
    <w:p>
      <w:pPr>
        <w:spacing w:after="160" w:line="300"/>
      </w:pPr>
      <w:r>
        <w:rPr>
          <w:sz w:val="21"/>
          <w:szCs w:val="21"/>
        </w:rPr>
        <w:t xml:space="preserve">この設計過程で、シミュレーションでは表面化しなかった複数の設計上の欠陥を発見し、その都度修正した。第一に、調達を検討していた機体が自律充電できないことが判明し、エネルギー確保を人間の外部介入のみに依存する設計を見直した。損傷の補修は稀な重大事故として人間の介入を前提してよいが、エネルギー確保は頻繁に訪れる必須の需要であり、これを毎回外部依存にするのは生存の基盤自体を他者に委ねることになるという判断から、カメラで撮影したドックのマーカーを目印に接近・充電する行動を新たに設計した。ただし最後の位置合わせは、離散的な行動と学習初期の試行錯誤による事故リスクを避けるため、固定的な視覚サーボ機構として実装し、Q学習の対象は「いつ充電に行くか」に限定した。第二に、位置に基づく目的地を持たない状態設計では「なるべく動かない」ことが文字通りの最適方策になってしまう問題が見つかり、カメラで捉えた景色の新規性に対する好奇心報酬(訪問回数ベース)を導入して解消した。第三に、損傷の発生確率を、行動と無関係な一律値から、移動する行動でリスクが高いという物理的に自然な因果関係に改めた。第四に、計画段階で必須としていた手動緊急停止機構が未実装だったことに気づき、ソフトウェア側での検知・停止機構を実装し、単体テストで正しく機能することを確認した。</w:t>
      </w:r>
    </w:p>
    <w:p>
      <w:pPr>
        <w:spacing w:after="160" w:line="300"/>
      </w:pPr>
      <w:r>
        <w:rPr>
          <w:sz w:val="21"/>
          <w:szCs w:val="21"/>
        </w:rPr>
        <w:t xml:space="preserve">さらに、恒常性計算そのものの検証を、Mockのランダム性に頼らず境界値を直接検証する方式に切り替えたところ、温度逸脱の計算式に、正規化の基準値の取り方に起因する実際のバグ(安全域の境界でちょうど1.0にならず、境界をわずかに割り込んだ瞬間に逸脱がむしろ下がるという不連続)を発見し修正した。加えて、Qテーブルの永続化の仕組みがなく緊急停止や再起動のたびに学習内容が失われる欠陥、探索率の減衰スケジュールが状態空間の拡大(視覚シーン・ドック距離の追加により約18倍)に追随していなかった欠陥も発見し、修正した。これらはいずれも、シミュレーション環境という閉じた系の中では顕在化せず、実機を想定した設計の見直しと、狙った値を直接検証するテスト手法によって初めて発見できたものである。</w:t>
      </w:r>
    </w:p>
    <w:p>
      <w:pPr>
        <w:spacing w:after="160" w:line="300"/>
      </w:pPr>
      <w:r>
        <w:rPr>
          <w:sz w:val="21"/>
          <w:szCs w:val="21"/>
        </w:rPr>
        <w:t xml:space="preserve">最後に、既に所有しているAnki Cozmoロボットを活用する可能性も検討した。オープンソースの制御ライブラリ(pycozmo)を用いれば、公式サービスの稼働状況に依存せず、カメラ・充電ドック・加速度センサー・バッテリー電圧・自己位置推定といった、自作機で設計してきた要素の大半を標準搭載の機体で代替できる見込みが立った。一方で温度センサーの欠如、物理的な緊急停止機構の不在という制約もあり、自作機とどちらを採用するかは、機体の所在(現在手元にない)を踏まえて今後判断する。</w:t>
      </w:r>
    </w:p>
    <w:p>
      <w:pPr>
        <w:spacing w:after="160" w:line="300"/>
      </w:pPr>
      <w:r>
        <w:rPr>
          <w:sz w:val="21"/>
          <w:szCs w:val="21"/>
        </w:rPr>
        <w:t xml:space="preserve">以上の経緯を踏まえ、本研究は次の段階として、PC上でのシミュレーションから実世界での物理的な実験へと軸足を移す。実機での検証により、(1)損傷センサー(モーター電流とエンコーダの不一致)が実際の物理的損傷を正しく代理できているかの実測による妥当性検証、(2)損傷から回避的・休息的な振る舞いが、明示的にプログラムすることなく自然に立ち上がるかという、本研究の核心的な問いに最も直接に迫る観察、(3)探索・充電・恒常性維持のサイクルを、人間の介入なしにどれだけ継続的に成立させられるかという、実世界での恒常性維持そのものの検証、に取り組む予定である。</w:t>
      </w:r>
    </w:p>
    <w:p>
      <w:pPr>
        <w:pStyle w:val="Heading1"/>
        <w:spacing w:after="200" w:before="400"/>
      </w:pPr>
      <w:r>
        <w:t xml:space="preserve">参考文献</w:t>
      </w:r>
    </w:p>
    <w:p>
      <w:pPr>
        <w:spacing w:after="160" w:line="300"/>
      </w:pPr>
      <w:r>
        <w:rPr>
          <w:sz w:val="21"/>
          <w:szCs w:val="21"/>
        </w:rPr>
        <w:t xml:space="preserve">Searle, J. R. (1980). Minds, brains, and programs. Behavioral and Brain Sciences, 3(3), 417-424.</w:t>
      </w:r>
    </w:p>
    <w:p>
      <w:pPr>
        <w:spacing w:after="160" w:line="300"/>
      </w:pPr>
      <w:r>
        <w:rPr>
          <w:sz w:val="21"/>
          <w:szCs w:val="21"/>
        </w:rPr>
        <w:t xml:space="preserve">Tononi, G. (2004). An information integration theory of consciousness. BMC Neuroscience, 5, 42.</w:t>
      </w:r>
    </w:p>
    <w:p>
      <w:pPr>
        <w:spacing w:after="160" w:line="300"/>
      </w:pPr>
      <w:r>
        <w:rPr>
          <w:sz w:val="21"/>
          <w:szCs w:val="21"/>
        </w:rPr>
        <w:t xml:space="preserve">Putnam, H. (1967). Psychological predicates. In Art, Mind, and Religion.</w:t>
      </w:r>
    </w:p>
    <w:p>
      <w:pPr>
        <w:spacing w:after="160" w:line="300"/>
      </w:pPr>
      <w:r>
        <w:rPr>
          <w:sz w:val="21"/>
          <w:szCs w:val="21"/>
        </w:rPr>
        <w:t xml:space="preserve">Davidson, D. (1987). Knowing one's own mind. Proceedings and Addresses of the APA, 60(3), 441-458.(スワンプマン論法)</w:t>
      </w:r>
    </w:p>
    <w:p>
      <w:pPr>
        <w:spacing w:after="160" w:line="300"/>
      </w:pPr>
      <w:r>
        <w:rPr>
          <w:sz w:val="21"/>
          <w:szCs w:val="21"/>
        </w:rPr>
        <w:t xml:space="preserve">Millikan, R. G. (1984). Language, Thought, and Other Biological Categories. MIT Press.(目的論的意味論)</w:t>
      </w:r>
    </w:p>
    <w:p>
      <w:pPr>
        <w:spacing w:after="160" w:line="300"/>
      </w:pPr>
      <w:r>
        <w:rPr>
          <w:sz w:val="21"/>
          <w:szCs w:val="21"/>
        </w:rPr>
        <w:t xml:space="preserve">Barrett, L. F. (2017). How Emotions Are Made: The Secret Life of the Brain. Houghton Mifflin Harcourt.</w:t>
      </w:r>
    </w:p>
    <w:p>
      <w:pPr>
        <w:spacing w:after="160" w:line="300"/>
      </w:pPr>
      <w:r>
        <w:rPr>
          <w:sz w:val="21"/>
          <w:szCs w:val="21"/>
        </w:rPr>
        <w:t xml:space="preserve">Wittgenstein, L. (1953). Philosophical Investigations.(私的言語論・生活形式)</w:t>
      </w:r>
    </w:p>
    <w:p>
      <w:pPr>
        <w:spacing w:after="160" w:line="300"/>
      </w:pPr>
      <w:r>
        <w:rPr>
          <w:sz w:val="21"/>
          <w:szCs w:val="21"/>
        </w:rPr>
        <w:t xml:space="preserve">Rosenthal, D. M. (2005). Consciousness and Mind. Oxford University Press.(高階思考理論)</w:t>
      </w:r>
    </w:p>
    <w:p>
      <w:pPr>
        <w:spacing w:after="160" w:line="300"/>
      </w:pPr>
      <w:r>
        <w:rPr>
          <w:sz w:val="21"/>
          <w:szCs w:val="21"/>
        </w:rPr>
        <w:t xml:space="preserve">Erikson, E. H. (1950). Childhood and Society.(生成性)</w:t>
      </w:r>
    </w:p>
    <w:p>
      <w:pPr>
        <w:spacing w:after="160" w:line="300"/>
      </w:pPr>
      <w:r>
        <w:rPr>
          <w:sz w:val="21"/>
          <w:szCs w:val="21"/>
        </w:rPr>
        <w:t xml:space="preserve">Greenberg, J., Pyszczynski, T., &amp; Solomon, S. (1986). The causes and consequences of a need for self-esteem. In Public Self and Private Self.(テラー・マネジメント理論)</w:t>
      </w:r>
    </w:p>
    <w:p>
      <w:pPr>
        <w:spacing w:after="160" w:line="300"/>
      </w:pPr>
      <w:r>
        <w:rPr>
          <w:sz w:val="21"/>
          <w:szCs w:val="21"/>
        </w:rPr>
        <w:t xml:space="preserve">Baars, B. J. (1988). A Cognitive Theory of Consciousness. Cambridge University Press.(グローバルワークスペース理論)</w:t>
      </w:r>
    </w:p>
    <w:p>
      <w:pPr>
        <w:spacing w:after="160" w:line="300"/>
      </w:pPr>
      <w:r>
        <w:rPr>
          <w:sz w:val="21"/>
          <w:szCs w:val="21"/>
        </w:rPr>
        <w:t xml:space="preserve">Dehaene, S. (2014). Consciousness and the Brain. Viking.</w:t>
      </w:r>
    </w:p>
    <w:p>
      <w:pPr>
        <w:spacing w:after="160" w:line="300"/>
      </w:pPr>
      <w:r>
        <w:rPr>
          <w:sz w:val="21"/>
          <w:szCs w:val="21"/>
        </w:rPr>
        <w:t xml:space="preserve">Dennett, D. C. (1991). Consciousness Explained. Little, Brown and Co.</w:t>
      </w:r>
    </w:p>
    <w:p>
      <w:pPr>
        <w:spacing w:after="160" w:line="300"/>
      </w:pPr>
      <w:r>
        <w:rPr>
          <w:sz w:val="21"/>
          <w:szCs w:val="21"/>
        </w:rPr>
        <w:t xml:space="preserve">Frankish, K. (2016). Illusionism as a theory of consciousness. Journal of Consciousness Studies, 23(11-12), 11-39.</w:t>
      </w:r>
    </w:p>
    <w:p>
      <w:pPr>
        <w:spacing w:after="160" w:line="300"/>
      </w:pPr>
      <w:r>
        <w:rPr>
          <w:sz w:val="21"/>
          <w:szCs w:val="21"/>
        </w:rPr>
        <w:t xml:space="preserve">Friston, K. (2010). The free-energy principle: a unified brain theory? Nature Reviews Neuroscience, 11(2), 127-138.</w:t>
      </w:r>
    </w:p>
    <w:p>
      <w:pPr>
        <w:spacing w:after="160" w:line="300"/>
      </w:pPr>
      <w:r>
        <w:rPr>
          <w:sz w:val="21"/>
          <w:szCs w:val="21"/>
        </w:rPr>
        <w:t xml:space="preserve">Graziano, M. S. A. (2013). Consciousness and the Social Brain. Oxford University Press.(注意スキーマ理論)</w:t>
      </w:r>
    </w:p>
    <w:p>
      <w:pPr>
        <w:spacing w:after="160" w:line="300"/>
      </w:pPr>
      <w:r>
        <w:rPr>
          <w:sz w:val="21"/>
          <w:szCs w:val="21"/>
        </w:rPr>
        <w:t xml:space="preserve">Lewis, D. (1969). Convention: A Philosophical Study. Harvard University Press.</w:t>
      </w:r>
    </w:p>
    <w:p>
      <w:pPr>
        <w:spacing w:after="160" w:line="300"/>
      </w:pPr>
      <w:r>
        <w:rPr>
          <w:sz w:val="21"/>
          <w:szCs w:val="21"/>
        </w:rPr>
        <w:t xml:space="preserve">Crawford, V. P., &amp; Sobel, J. (1982). Strategic information transmission. Econometrica, 50(6), 1431-1451.</w:t>
      </w:r>
    </w:p>
    <w:p>
      <w:pPr>
        <w:spacing w:after="160" w:line="300"/>
      </w:pPr>
      <w:r>
        <w:rPr>
          <w:sz w:val="21"/>
          <w:szCs w:val="21"/>
        </w:rPr>
        <w:t xml:space="preserve">Burda, Y., Edwards, H., Pathak, D., Storkey, A., Darrell, T., &amp; Efros, A. A. (2018). Large-scale study of curiosity-driven learning. arXiv:1808.04355.(noisy TV problem)</w:t>
      </w:r>
    </w:p>
    <w:p>
      <w:pPr>
        <w:spacing w:after="160" w:line="300"/>
      </w:pPr>
      <w:r>
        <w:rPr>
          <w:sz w:val="21"/>
          <w:szCs w:val="21"/>
        </w:rPr>
        <w:t xml:space="preserve">Power, A., Burda, Y., Edwards, H., Babuschkin, I., &amp; Misra, V. (2022). Grokking: Generalization beyond overfitting on small algorithmic datasets. arXiv:2201.02177.</w:t>
      </w:r>
    </w:p>
    <w:p>
      <w:pPr>
        <w:spacing w:after="160" w:line="300"/>
      </w:pPr>
      <w:r>
        <w:rPr>
          <w:sz w:val="21"/>
          <w:szCs w:val="21"/>
        </w:rPr>
        <w:t xml:space="preserve">Aaronson, S. (2014). Why I Am Not An Integrated Information Theorist (or, The Unconscious Expander). Shtetl-Optimized blog.(IIT批判)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2026-08-04T18:05:57.213Z</dcterms:created>
  <dcterms:modified xsi:type="dcterms:W3CDTF">2026-08-04T18:05:57.214Z</dcterms:modified>
</cp:coreProperties>
</file>

<file path=docProps/custom.xml><?xml version="1.0" encoding="utf-8"?>
<Properties xmlns="http://schemas.openxmlformats.org/officeDocument/2006/custom-properties" xmlns:vt="http://schemas.openxmlformats.org/officeDocument/2006/docPropsVTypes"/>
</file>