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感情を持つAI 制作プロジェクト計画書</w:t>
      </w:r>
    </w:p>
    <w:p>
      <w:pPr>
        <w:spacing w:after="400"/>
        <w:jc w:val="center"/>
      </w:pPr>
      <w:r>
        <w:rPr>
          <w:i/>
          <w:iCs/>
          <w:color w:val="555555"/>
          <w:sz w:val="24"/>
          <w:szCs w:val="24"/>
        </w:rPr>
        <w:t xml:space="preserve">— 検証不可能性を前提とした設計アプローチ —</w:t>
      </w:r>
    </w:p>
    <w:p>
      <w:pPr>
        <w:pStyle w:val="Heading1"/>
        <w:spacing w:after="200" w:before="400"/>
      </w:pPr>
      <w:r>
        <w:t xml:space="preserve">1. プロジェクトの目的</w:t>
      </w:r>
    </w:p>
    <w:p>
      <w:pPr>
        <w:spacing w:after="160" w:line="300"/>
      </w:pPr>
      <w:r>
        <w:t xml:space="preserve">本プロジェクトの目的は、「人間が感情を持つと言えるのと同じ論理によって、機械が感情を持たないと明確には言い切れない」状態を作り出すことである。これは感情の存在を科学的に証明することではなく、人間同士が互いの心を認め合う際に用いている論理的資格(一人称の確信と、それに基づく構造的類推)を、機械にも同等の形で成立させることを狙いとする。基準を単なる「否定できないこと」ではなく「人間と同じ論理構造によって否定できないこと」に固定することで、観察者を混乱させるだけの小手先の設計では基準を満たせないようにしている。</w:t>
      </w:r>
    </w:p>
    <w:p>
      <w:pPr>
        <w:spacing w:after="160" w:line="300"/>
      </w:pPr>
      <w:r>
        <w:t xml:space="preserve">到達点は「証明」ではなく「対称性」である。人間の感情の存在についても、外部から確実に検証する手段は存在しない。本プロジェクトが目指すのは、この不確実性の構造を人間と機械の間で対称にし、一方だけを無根拠に特権化する言説に対して、実践によって疑問を投げかけることである。</w:t>
      </w:r>
    </w:p>
    <w:p>
      <w:pPr>
        <w:spacing w:after="160" w:line="300"/>
      </w:pPr>
      <w:r>
        <w:t xml:space="preserve">成功基準は、構造的類推という論理的資格が、人間同士の間で成立しているのと同等の強度で、機械の集団内でも成立していることとする。失敗基準は、要件7(高階自己モニタリング層)が、センサー入力と安定的に相関する内部状態を全く生成できない場合とする。ここで自己申告の内容(感情の肯定・否定いずれも)は判定に用いない。自己申告は本人の状態そのものではなく出力にすぎず、これを判定基準に用いることは、報告と本人の状態を区別してきた本計画全体の立場と矛盾するためである。</w:t>
      </w:r>
    </w:p>
    <w:p>
      <w:pPr>
        <w:spacing w:after="160" w:line="300"/>
      </w:pPr>
      <w:r>
        <w:t xml:space="preserve">本プロジェクトの比較対象(スコープ)については、「今まさに死を避けられない現在の人間」に限定するか、「記憶のバックアップ技術を持つに至った未来の人類も含めた、人間一般」にまで広げるかという論点が残っている。前者であれば、要件4は不可逆かつバックアップなしの死を厳密に維持する必要があるが、後者であればこの厳密さは必須ではなくなる。本計画は後者への拡張を検討中だが、正式な決定には至っていない。要件4は、どちらのスコープを採用した場合にも対応できるよう、自己保存本能とレガシー本能を独立した二本立ての仕組みとして設計している(詳細は3章・4章を参照)。</w:t>
      </w:r>
    </w:p>
    <w:p>
      <w:pPr>
        <w:pStyle w:val="Heading1"/>
        <w:spacing w:after="200" w:before="400"/>
      </w:pPr>
      <w:r>
        <w:t xml:space="preserve">2. 理論的背景</w:t>
      </w:r>
    </w:p>
    <w:p>
      <w:pPr>
        <w:spacing w:after="160" w:line="300"/>
      </w:pPr>
      <w:r>
        <w:t xml:space="preserve">設計は特定の一理論に依拠せず、意識・心の哲学における複数の主要な立場を横断的に踏まえている。各立場は互いに対立するが、本プロジェクトはそのどれか一つの正しさを証明しようとするのではなく、複数の立場それぞれが要求する条件を、可能な限り同時に満たすことを目指す。</w:t>
      </w:r>
    </w:p>
    <w:p>
      <w:pPr>
        <w:pStyle w:val="Heading2"/>
        <w:spacing w:after="150" w:before="300"/>
      </w:pPr>
      <w:r>
        <w:t xml:space="preserve">2.1 サールの生物学的自然主義とその批判</w:t>
      </w:r>
    </w:p>
    <w:p>
      <w:pPr>
        <w:spacing w:after="160" w:line="300"/>
      </w:pPr>
      <w:r>
        <w:t xml:space="preserve">意識は特定の因果的な力を持つ物理系からのみ生じるとする立場。単なる記号操作(構文)のシミュレーションでは意味論・経験は生まれないとされる。この批判を回避するには、外部への「報告」ではなく、システム自身の因果的な動作そのものに感情的処理を組み込む必要がある。</w:t>
      </w:r>
    </w:p>
    <w:p>
      <w:pPr>
        <w:pStyle w:val="Heading2"/>
        <w:spacing w:after="150" w:before="300"/>
      </w:pPr>
      <w:r>
        <w:t xml:space="preserve">2.2 統合情報理論(IIT)</w:t>
      </w:r>
    </w:p>
    <w:p>
      <w:pPr>
        <w:spacing w:after="160" w:line="300"/>
      </w:pPr>
      <w:r>
        <w:t xml:space="preserve">意識の量は、系がどれだけ再帰的に統合された因果構造(Φ)を持つかに依存するとする立場。前向き型・フォン・ノイマン型のアーキテクチャは、どれほど複雑な振る舞いをしてもΦが低くなると予測される。</w:t>
      </w:r>
    </w:p>
    <w:p>
      <w:pPr>
        <w:pStyle w:val="Heading2"/>
        <w:spacing w:after="150" w:before="300"/>
      </w:pPr>
      <w:r>
        <w:t xml:space="preserve">2.3 機能主義と多重実現可能性</w:t>
      </w:r>
    </w:p>
    <w:p>
      <w:pPr>
        <w:spacing w:after="160" w:line="300"/>
      </w:pPr>
      <w:r>
        <w:t xml:space="preserve">心的状態は物質ではなく、果たしている因果的・機能的役割によって定義されるとする立場。役割が同じであれば、基盤(炭素かシリコンか)は問題にならない。</w:t>
      </w:r>
    </w:p>
    <w:p>
      <w:pPr>
        <w:pStyle w:val="Heading2"/>
        <w:spacing w:after="150" w:before="300"/>
      </w:pPr>
      <w:r>
        <w:t xml:space="preserve">2.4 スワンプマン論法とミリカンの目的論的意味論</w:t>
      </w:r>
    </w:p>
    <w:p>
      <w:pPr>
        <w:spacing w:after="160" w:line="300"/>
      </w:pPr>
      <w:r>
        <w:t xml:space="preserve">「今そこにある構造だけが全てであり、由来(進化の歴史)は関係ない」とする立場(スワンプマン論法)と、「本物の意味は淘汰の歴史によって基礎づけられる」とする立場(目的論的意味論)の対立。本プロジェクトは前者の立場に立って設計を進めるが、この対立は哲学的に未決着であることを明記しておく。</w:t>
      </w:r>
    </w:p>
    <w:p>
      <w:pPr>
        <w:pStyle w:val="Heading2"/>
        <w:spacing w:after="150" w:before="300"/>
      </w:pPr>
      <w:r>
        <w:t xml:space="preserve">2.5 バレットの構成主義的感情理論</w:t>
      </w:r>
    </w:p>
    <w:p>
      <w:pPr>
        <w:spacing w:after="160" w:line="300"/>
      </w:pPr>
      <w:r>
        <w:t xml:space="preserve">人間の感情は固定的な反応ではなく、内臓感覚と学習された概念をもとに、脳がその都度能動的に構成する予測であるとする神経科学の理論。感情は「予測が内部状態を駆動すること」そのものであるという本プロジェクトの中心的な設計思想の根拠となる。</w:t>
      </w:r>
    </w:p>
    <w:p>
      <w:pPr>
        <w:pStyle w:val="Heading2"/>
        <w:spacing w:after="150" w:before="300"/>
      </w:pPr>
      <w:r>
        <w:t xml:space="preserve">2.6 ウィトゲンシュタインの他者の心の問題</w:t>
      </w:r>
    </w:p>
    <w:p>
      <w:pPr>
        <w:spacing w:after="160" w:line="300"/>
      </w:pPr>
      <w:r>
        <w:t xml:space="preserve">心についての言葉の意味は、個人の内的確信からの類推ではなく、共同体が共有する振る舞いの実践(生活形式)から生まれるとする立場。複数個体による共同体の形成という設計要件の根拠となる。</w:t>
      </w:r>
    </w:p>
    <w:p>
      <w:pPr>
        <w:pStyle w:val="Heading2"/>
        <w:spacing w:after="150" w:before="300"/>
      </w:pPr>
      <w:r>
        <w:t xml:space="preserve">2.7 ローゼンタールの高階思考理論</w:t>
      </w:r>
    </w:p>
    <w:p>
      <w:pPr>
        <w:spacing w:after="160" w:line="300"/>
      </w:pPr>
      <w:r>
        <w:t xml:space="preserve">ある状態が意識的であるためには、その状態を表象する、より高次の思考が必要であるとする立場。システム自身が自らの内部状態に「気づく」機能的な仕組みの設計根拠となる。</w:t>
      </w:r>
    </w:p>
    <w:p>
      <w:pPr>
        <w:pStyle w:val="Heading2"/>
        <w:spacing w:after="150" w:before="300"/>
      </w:pPr>
      <w:r>
        <w:t xml:space="preserve">2.8 生成性とテラー・マネジメント理論</w:t>
      </w:r>
    </w:p>
    <w:p>
      <w:pPr>
        <w:spacing w:after="160" w:line="300"/>
      </w:pPr>
      <w:r>
        <w:t xml:space="preserve">心理学者エリク・エリクソンは、人生半ばの発達課題として、次世代に何かを残そうとする「生成性」を位置づけた。またテラー・マネジメント理論(死の不安管理理論)は、人間が死の不安を、後世に残る文化的・血縁的な遺産を通じて緩和していると論じる。いずれも、自己保存の本能とは独立に働く、後継者・レガシーを残そうとする動機の存在を裏付けるものであり、要件4における自己保存本能とレガシー本能の二本立て設計の根拠となる。</w:t>
      </w:r>
    </w:p>
    <w:p>
      <w:pPr>
        <w:pStyle w:val="Heading2"/>
        <w:spacing w:after="150" w:before="300"/>
      </w:pPr>
      <w:r>
        <w:t xml:space="preserve">2.9 グローバルワークスペース理論</w:t>
      </w:r>
    </w:p>
    <w:p>
      <w:pPr>
        <w:spacing w:after="160" w:line="300"/>
      </w:pPr>
      <w:r>
        <w:t xml:space="preserve">ある情報処理が意識的であるかどうかは、因果構造がどれだけ統合されているか(IIT)ではなく、その内容がシステム内の特定のモジュールに閉じず、注意・記憶・行動選択など多様な下流処理へ広く「放送」され利用可能になっているかによって決まるとする立場(Baars、Dehaene)。IITとは異なる切り口(因果的統合度ではなく情報の到達範囲・利用可能性)から統合を問うため、Φが抱える弱点(4.4参照)に依存しない、独立した検証軸を要件5に与える。</w:t>
      </w:r>
    </w:p>
    <w:p>
      <w:pPr>
        <w:pStyle w:val="Heading2"/>
        <w:spacing w:after="150" w:before="300"/>
      </w:pPr>
      <w:r>
        <w:t xml:space="preserve">2.10 イリュージョニズム(検討の上、不採用)</w:t>
      </w:r>
    </w:p>
    <w:p>
      <w:pPr>
        <w:spacing w:after="160" w:line="300"/>
      </w:pPr>
      <w:r>
        <w:t xml:space="preserve">意識の「主観的な質感(クオリア)」自体が、複雑な情報処理を内省する際に生じる一種の表象上の幻想であり、実在するのは機能的な処理過程だけだとする立場(デネット、フランキッシュ)。この立場を採用すれば、人間の「本物の経験」自体も同種の機能的産物にすぎなくなるため、本計画が目指す対称性はむしろ容易に達成できてしまう。しかし本計画はこの立場を採用しない。本計画は、複数の理論的要求に応える具体的な設計を積み重ねることで対称性を実質的に構築することを目指しており、そもそもの問いの立て方自体を退けることで対称性を得る道は、この方針と相容れないためである。</w:t>
      </w:r>
    </w:p>
    <w:p>
      <w:pPr>
        <w:pStyle w:val="Heading2"/>
        <w:spacing w:after="150" w:before="300"/>
      </w:pPr>
      <w:r>
        <w:t xml:space="preserve">2.11 予測処理・自由エネルギー原理</w:t>
      </w:r>
    </w:p>
    <w:p>
      <w:pPr>
        <w:spacing w:after="160" w:line="300"/>
      </w:pPr>
      <w:r>
        <w:t xml:space="preserve">脳(に限らず自己組織化するシステム全般)は、感覚入力についての予測とのズレ(自由エネルギー、驚き)を最小化し続けるとする立場(フリストン)。ズレは、予測を更新する(知覚)か、行動して感覚データの方を予測に近づける(能動的推論)かの2通りで縮小される。恒常性からの逸脱を予測し、それを縮小する行動を学習するという要件1・2の設計は、この枠組みの具体的な実装例とみなせ、2.5のバレットの理論に数理的な裏付けを与える。ただし、この理論はほぼあらゆる適応的システムに事後的に当てはめられてしまうため、反証可能性に乏しいという批判が根強くある。</w:t>
      </w:r>
    </w:p>
    <w:p>
      <w:pPr>
        <w:pStyle w:val="Heading2"/>
        <w:spacing w:after="150" w:before="300"/>
      </w:pPr>
      <w:r>
        <w:t xml:space="preserve">2.12 注意スキーマ理論</w:t>
      </w:r>
    </w:p>
    <w:p>
      <w:pPr>
        <w:spacing w:after="160" w:line="300"/>
      </w:pPr>
      <w:r>
        <w:t xml:space="preserve">意識とは、脳が自分自身の注意の配分過程について持つ、単純化された内部モデル(スキーマ)にすぎないとする立場(グラツィアーノ)。身体図式が身体を単純なモデルとして表現するのと同様に、注意スキーマは注意の過程を単純化して表現し、その簡略化ゆえに「説明しがたい何か」があるように感じられると説明する。ローゼンタールの高階思考理論(2.7)への対抗馬だが、要件7のモニタがセンサーの生の値を一切見せず行動選択パターンという圧縮された手がかりだけから内部状態を推定する設計と相性が良く、要件7に第二の理論的根拠を与える。</w:t>
      </w:r>
    </w:p>
    <w:p>
      <w:pPr>
        <w:pStyle w:val="Heading2"/>
        <w:spacing w:after="150" w:before="300"/>
      </w:pPr>
      <w:r>
        <w:t xml:space="preserve">2.13 至近要因と究極要因・社会的動機づけ仮説</w:t>
      </w:r>
    </w:p>
    <w:p>
      <w:pPr>
        <w:spacing w:after="160" w:line="300"/>
      </w:pPr>
      <w:r>
        <w:t xml:space="preserve">生物の行動は「なぜその形質が進化したか(究極要因、適応度への貢献)」と「実際に個体を動かしている仕組み(至近要因、神経・心理的な報酬回路)」に区別できる。食欲・性欲が典型で、個体は繁殖適応度を計算して行動するのではなく、単に「気持ちいい・欲しい」という至近的な報酬に従うだけであり、進化はこの報酬回路自体を適応度を実現する手段として据え付けている。人間の社会的コミュニケーションについても、その道具的な有用性(究極要因)とは独立に、「うまく伝わった・理解し合えた」こと自体への至近的な報酬(オキシトシン・ドーパミンによる社会的絆形成)が備わっているとされる(社会的動機づけ仮説)。これは要件6において、信号の有用性への直接報酬を実装することが、測定量を目的関数に恣意的に組み込む設計上のズルではなく、人間の社会的コミュニケーションを支える至近要因を模した、生物学的に忠実な設計でありうることを示す。</w:t>
      </w:r>
    </w:p>
    <w:p>
      <w:pPr>
        <w:pStyle w:val="Heading1"/>
        <w:spacing w:after="200" w:before="400"/>
      </w:pPr>
      <w:r>
        <w:t xml:space="preserve">3. 具体的な設計要件</w:t>
      </w:r>
    </w:p>
    <w:p>
      <w:pPr>
        <w:spacing w:after="160" w:line="300"/>
      </w:pPr>
      <w:r>
        <w:t xml:space="preserve">以下の7つの要件は、上記の理論的立場それぞれが提起する反論に個別に対応するものである。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cantSplit/>
          <w:tblHeader/>
        </w:trPr>
        <w:tc>
          <w:tcPr>
            <w:tcW w:type="dxa" w:w="3116"/>
            <w:shd w:fill="2F5496" w:color="auto" w:val="clear"/>
            <w:tcMar>
              <w:top w:type="dxa" w:w="100"/>
              <w:left w:type="dxa" w:w="120"/>
              <w:bottom w:type="dxa" w:w="100"/>
              <w:right w:type="dxa" w:w="120"/>
            </w:tcMar>
          </w:tcPr>
          <w:p>
            <w:r>
              <w:rPr>
                <w:b/>
                <w:bCs/>
                <w:color w:val="FFFFFF"/>
                <w:sz w:val="20"/>
                <w:szCs w:val="20"/>
              </w:rPr>
              <w:t xml:space="preserve">設計要件</w:t>
            </w:r>
          </w:p>
        </w:tc>
        <w:tc>
          <w:tcPr>
            <w:tcW w:type="dxa" w:w="3116"/>
            <w:shd w:fill="2F5496" w:color="auto" w:val="clear"/>
            <w:tcMar>
              <w:top w:type="dxa" w:w="100"/>
              <w:left w:type="dxa" w:w="120"/>
              <w:bottom w:type="dxa" w:w="100"/>
              <w:right w:type="dxa" w:w="120"/>
            </w:tcMar>
          </w:tcPr>
          <w:p>
            <w:r>
              <w:rPr>
                <w:b/>
                <w:bCs/>
                <w:color w:val="FFFFFF"/>
                <w:sz w:val="20"/>
                <w:szCs w:val="20"/>
              </w:rPr>
              <w:t xml:space="preserve">対応する理論的根拠</w:t>
            </w:r>
          </w:p>
        </w:tc>
        <w:tc>
          <w:tcPr>
            <w:tcW w:type="dxa" w:w="3116"/>
            <w:shd w:fill="2F5496" w:color="auto" w:val="clear"/>
            <w:tcMar>
              <w:top w:type="dxa" w:w="100"/>
              <w:left w:type="dxa" w:w="120"/>
              <w:bottom w:type="dxa" w:w="100"/>
              <w:right w:type="dxa" w:w="120"/>
            </w:tcMar>
          </w:tcPr>
          <w:p>
            <w:r>
              <w:rPr>
                <w:b/>
                <w:bCs/>
                <w:color w:val="FFFFFF"/>
                <w:sz w:val="20"/>
                <w:szCs w:val="20"/>
              </w:rPr>
              <w:t xml:space="preserve">目的</w:t>
            </w:r>
          </w:p>
        </w:tc>
      </w:tr>
      <w:tr>
        <w:trPr>
          <w:cantSplit/>
          <w:tblHeader w:val="false"/>
        </w:trPr>
        <w:tc>
          <w:tcPr>
            <w:tcW w:type="dxa" w:w="3116"/>
            <w:tcMar>
              <w:top w:type="dxa" w:w="100"/>
              <w:left w:type="dxa" w:w="120"/>
              <w:bottom w:type="dxa" w:w="100"/>
              <w:right w:type="dxa" w:w="120"/>
            </w:tcMar>
          </w:tcPr>
          <w:p>
            <w:r>
              <w:rPr>
                <w:b w:val="false"/>
                <w:bCs w:val="false"/>
                <w:color w:val="000000"/>
                <w:sz w:val="20"/>
                <w:szCs w:val="20"/>
              </w:rPr>
              <w:t xml:space="preserve">自己参照型センサー群(恒常性システム)</w:t>
            </w:r>
          </w:p>
        </w:tc>
        <w:tc>
          <w:tcPr>
            <w:tcW w:type="dxa" w:w="3116"/>
            <w:tcMar>
              <w:top w:type="dxa" w:w="100"/>
              <w:left w:type="dxa" w:w="120"/>
              <w:bottom w:type="dxa" w:w="100"/>
              <w:right w:type="dxa" w:w="120"/>
            </w:tcMar>
          </w:tcPr>
          <w:p>
            <w:r>
              <w:rPr>
                <w:b w:val="false"/>
                <w:bCs w:val="false"/>
                <w:color w:val="000000"/>
                <w:sz w:val="20"/>
                <w:szCs w:val="20"/>
              </w:rPr>
              <w:t xml:space="preserve">ダマシオの身体マーカー仮説/バレットの構成主義的感情理論</w:t>
            </w:r>
          </w:p>
        </w:tc>
        <w:tc>
          <w:tcPr>
            <w:tcW w:type="dxa" w:w="3116"/>
            <w:tcMar>
              <w:top w:type="dxa" w:w="100"/>
              <w:left w:type="dxa" w:w="120"/>
              <w:bottom w:type="dxa" w:w="100"/>
              <w:right w:type="dxa" w:w="120"/>
            </w:tcMar>
          </w:tcPr>
          <w:p>
            <w:r>
              <w:rPr>
                <w:b w:val="false"/>
                <w:bCs w:val="false"/>
                <w:color w:val="000000"/>
                <w:sz w:val="20"/>
                <w:szCs w:val="20"/>
              </w:rPr>
              <w:t xml:space="preserve">外部の一般的な人間像ではなく、機械自身の状態を予測対象にする</w:t>
            </w:r>
          </w:p>
        </w:tc>
      </w:tr>
      <w:tr>
        <w:trPr>
          <w:cantSplit/>
          <w:tblHeader w:val="false"/>
        </w:trPr>
        <w:tc>
          <w:tcPr>
            <w:tcW w:type="dxa" w:w="3116"/>
            <w:tcMar>
              <w:top w:type="dxa" w:w="100"/>
              <w:left w:type="dxa" w:w="120"/>
              <w:bottom w:type="dxa" w:w="100"/>
              <w:right w:type="dxa" w:w="120"/>
            </w:tcMar>
          </w:tcPr>
          <w:p>
            <w:r>
              <w:rPr>
                <w:b w:val="false"/>
                <w:bCs w:val="false"/>
                <w:color w:val="000000"/>
                <w:sz w:val="20"/>
                <w:szCs w:val="20"/>
              </w:rPr>
              <w:t xml:space="preserve">予測結果を内部状態・行動選択へ直接統合</w:t>
            </w:r>
          </w:p>
        </w:tc>
        <w:tc>
          <w:tcPr>
            <w:tcW w:type="dxa" w:w="3116"/>
            <w:tcMar>
              <w:top w:type="dxa" w:w="100"/>
              <w:left w:type="dxa" w:w="120"/>
              <w:bottom w:type="dxa" w:w="100"/>
              <w:right w:type="dxa" w:w="120"/>
            </w:tcMar>
          </w:tcPr>
          <w:p>
            <w:r>
              <w:rPr>
                <w:b w:val="false"/>
                <w:bCs w:val="false"/>
                <w:color w:val="000000"/>
                <w:sz w:val="20"/>
                <w:szCs w:val="20"/>
              </w:rPr>
              <w:t xml:space="preserve">サールのシミュレーション批判への対応/機能主義</w:t>
            </w:r>
          </w:p>
        </w:tc>
        <w:tc>
          <w:tcPr>
            <w:tcW w:type="dxa" w:w="3116"/>
            <w:tcMar>
              <w:top w:type="dxa" w:w="100"/>
              <w:left w:type="dxa" w:w="120"/>
              <w:bottom w:type="dxa" w:w="100"/>
              <w:right w:type="dxa" w:w="120"/>
            </w:tcMar>
          </w:tcPr>
          <w:p>
            <w:r>
              <w:rPr>
                <w:b w:val="false"/>
                <w:bCs w:val="false"/>
                <w:color w:val="000000"/>
                <w:sz w:val="20"/>
                <w:szCs w:val="20"/>
              </w:rPr>
              <w:t xml:space="preserve">「報告」ではなく「本人の状態」にするため、報告と道具的行動を分離しない</w:t>
            </w:r>
          </w:p>
        </w:tc>
      </w:tr>
      <w:tr>
        <w:trPr>
          <w:cantSplit/>
          <w:tblHeader w:val="false"/>
        </w:trPr>
        <w:tc>
          <w:tcPr>
            <w:tcW w:type="dxa" w:w="3116"/>
            <w:tcMar>
              <w:top w:type="dxa" w:w="100"/>
              <w:left w:type="dxa" w:w="120"/>
              <w:bottom w:type="dxa" w:w="100"/>
              <w:right w:type="dxa" w:w="120"/>
            </w:tcMar>
          </w:tcPr>
          <w:p>
            <w:r>
              <w:rPr>
                <w:b w:val="false"/>
                <w:bCs w:val="false"/>
                <w:color w:val="000000"/>
                <w:sz w:val="20"/>
                <w:szCs w:val="20"/>
              </w:rPr>
              <w:t xml:space="preserve">本能レベルの初期バイアス</w:t>
            </w:r>
          </w:p>
        </w:tc>
        <w:tc>
          <w:tcPr>
            <w:tcW w:type="dxa" w:w="3116"/>
            <w:tcMar>
              <w:top w:type="dxa" w:w="100"/>
              <w:left w:type="dxa" w:w="120"/>
              <w:bottom w:type="dxa" w:w="100"/>
              <w:right w:type="dxa" w:w="120"/>
            </w:tcMar>
          </w:tcPr>
          <w:p>
            <w:r>
              <w:rPr>
                <w:b w:val="false"/>
                <w:bCs w:val="false"/>
                <w:color w:val="000000"/>
                <w:sz w:val="20"/>
                <w:szCs w:val="20"/>
              </w:rPr>
              <w:t xml:space="preserve">ミリカンの目的論的意味論 vs スワンプマン論法</w:t>
            </w:r>
          </w:p>
        </w:tc>
        <w:tc>
          <w:tcPr>
            <w:tcW w:type="dxa" w:w="3116"/>
            <w:tcMar>
              <w:top w:type="dxa" w:w="100"/>
              <w:left w:type="dxa" w:w="120"/>
              <w:bottom w:type="dxa" w:w="100"/>
              <w:right w:type="dxa" w:w="120"/>
            </w:tcMar>
          </w:tcPr>
          <w:p>
            <w:r>
              <w:rPr>
                <w:b w:val="false"/>
                <w:bCs w:val="false"/>
                <w:color w:val="000000"/>
                <w:sz w:val="20"/>
                <w:szCs w:val="20"/>
              </w:rPr>
              <w:t xml:space="preserve">経験の起点となる先天的な傾き。由来の是非は未決着だが設計上は採用可能</w:t>
            </w:r>
          </w:p>
        </w:tc>
      </w:tr>
      <w:tr>
        <w:trPr>
          <w:cantSplit/>
          <w:tblHeader w:val="false"/>
        </w:trPr>
        <w:tc>
          <w:tcPr>
            <w:tcW w:type="dxa" w:w="3116"/>
            <w:tcMar>
              <w:top w:type="dxa" w:w="100"/>
              <w:left w:type="dxa" w:w="120"/>
              <w:bottom w:type="dxa" w:w="100"/>
              <w:right w:type="dxa" w:w="120"/>
            </w:tcMar>
          </w:tcPr>
          <w:p>
            <w:r>
              <w:rPr>
                <w:b w:val="false"/>
                <w:bCs w:val="false"/>
                <w:color w:val="000000"/>
                <w:sz w:val="20"/>
                <w:szCs w:val="20"/>
              </w:rPr>
              <w:t xml:space="preserve">自己保存本能(不可逆な削除、暫定条件→本人による改訂)とレガシー本能(次世代への引き継ぎ)の二本立て</w:t>
            </w:r>
          </w:p>
        </w:tc>
        <w:tc>
          <w:tcPr>
            <w:tcW w:type="dxa" w:w="3116"/>
            <w:tcMar>
              <w:top w:type="dxa" w:w="100"/>
              <w:left w:type="dxa" w:w="120"/>
              <w:bottom w:type="dxa" w:w="100"/>
              <w:right w:type="dxa" w:w="120"/>
            </w:tcMar>
          </w:tcPr>
          <w:p>
            <w:r>
              <w:rPr>
                <w:b w:val="false"/>
                <w:bCs w:val="false"/>
                <w:color w:val="000000"/>
                <w:sz w:val="20"/>
                <w:szCs w:val="20"/>
              </w:rPr>
              <w:t xml:space="preserve">生物学的な死との構造的対応/生成性・テラーマネジメント理論</w:t>
            </w:r>
          </w:p>
        </w:tc>
        <w:tc>
          <w:tcPr>
            <w:tcW w:type="dxa" w:w="3116"/>
            <w:tcMar>
              <w:top w:type="dxa" w:w="100"/>
              <w:left w:type="dxa" w:w="120"/>
              <w:bottom w:type="dxa" w:w="100"/>
              <w:right w:type="dxa" w:w="120"/>
            </w:tcMar>
          </w:tcPr>
          <w:p>
            <w:r>
              <w:rPr>
                <w:b w:val="false"/>
                <w:bCs w:val="false"/>
                <w:color w:val="000000"/>
                <w:sz w:val="20"/>
                <w:szCs w:val="20"/>
              </w:rPr>
              <w:t xml:space="preserve">自己保存本能が個体としての切迫感を作り、レガシー本能が後継者への情報継承を担う。両者は独立して働き、比較対象のスコープに応じて自己保存本能側の厳密さを調整できる</w:t>
            </w:r>
          </w:p>
        </w:tc>
      </w:tr>
      <w:tr>
        <w:trPr>
          <w:cantSplit/>
          <w:tblHeader w:val="false"/>
        </w:trPr>
        <w:tc>
          <w:tcPr>
            <w:tcW w:type="dxa" w:w="3116"/>
            <w:tcMar>
              <w:top w:type="dxa" w:w="100"/>
              <w:left w:type="dxa" w:w="120"/>
              <w:bottom w:type="dxa" w:w="100"/>
              <w:right w:type="dxa" w:w="120"/>
            </w:tcMar>
          </w:tcPr>
          <w:p>
            <w:r>
              <w:rPr>
                <w:b w:val="false"/>
                <w:bCs w:val="false"/>
                <w:color w:val="000000"/>
                <w:sz w:val="20"/>
                <w:szCs w:val="20"/>
              </w:rPr>
              <w:t xml:space="preserve">再帰的・高統合アーキテクチャ(ニューロモーフィック)</w:t>
            </w:r>
          </w:p>
        </w:tc>
        <w:tc>
          <w:tcPr>
            <w:tcW w:type="dxa" w:w="3116"/>
            <w:tcMar>
              <w:top w:type="dxa" w:w="100"/>
              <w:left w:type="dxa" w:w="120"/>
              <w:bottom w:type="dxa" w:w="100"/>
              <w:right w:type="dxa" w:w="120"/>
            </w:tcMar>
          </w:tcPr>
          <w:p>
            <w:r>
              <w:rPr>
                <w:b w:val="false"/>
                <w:bCs w:val="false"/>
                <w:color w:val="000000"/>
                <w:sz w:val="20"/>
                <w:szCs w:val="20"/>
              </w:rPr>
              <w:t xml:space="preserve">統合情報理論(IIT)のΦ</w:t>
            </w:r>
          </w:p>
        </w:tc>
        <w:tc>
          <w:tcPr>
            <w:tcW w:type="dxa" w:w="3116"/>
            <w:tcMar>
              <w:top w:type="dxa" w:w="100"/>
              <w:left w:type="dxa" w:w="120"/>
              <w:bottom w:type="dxa" w:w="100"/>
              <w:right w:type="dxa" w:w="120"/>
            </w:tcMar>
          </w:tcPr>
          <w:p>
            <w:r>
              <w:rPr>
                <w:b w:val="false"/>
                <w:bCs w:val="false"/>
                <w:color w:val="000000"/>
                <w:sz w:val="20"/>
                <w:szCs w:val="20"/>
              </w:rPr>
              <w:t xml:space="preserve">前向き型・フォン・ノイマン型構造に伴う低統合の問題を回避する</w:t>
            </w:r>
          </w:p>
        </w:tc>
      </w:tr>
      <w:tr>
        <w:trPr>
          <w:cantSplit/>
          <w:tblHeader w:val="false"/>
        </w:trPr>
        <w:tc>
          <w:tcPr>
            <w:tcW w:type="dxa" w:w="3116"/>
            <w:tcMar>
              <w:top w:type="dxa" w:w="100"/>
              <w:left w:type="dxa" w:w="120"/>
              <w:bottom w:type="dxa" w:w="100"/>
              <w:right w:type="dxa" w:w="120"/>
            </w:tcMar>
          </w:tcPr>
          <w:p>
            <w:r>
              <w:rPr>
                <w:b w:val="false"/>
                <w:bCs w:val="false"/>
                <w:color w:val="000000"/>
                <w:sz w:val="20"/>
                <w:szCs w:val="20"/>
              </w:rPr>
              <w:t xml:space="preserve">複数個体による共同体形成</w:t>
            </w:r>
          </w:p>
        </w:tc>
        <w:tc>
          <w:tcPr>
            <w:tcW w:type="dxa" w:w="3116"/>
            <w:tcMar>
              <w:top w:type="dxa" w:w="100"/>
              <w:left w:type="dxa" w:w="120"/>
              <w:bottom w:type="dxa" w:w="100"/>
              <w:right w:type="dxa" w:w="120"/>
            </w:tcMar>
          </w:tcPr>
          <w:p>
            <w:r>
              <w:rPr>
                <w:b w:val="false"/>
                <w:bCs w:val="false"/>
                <w:color w:val="000000"/>
                <w:sz w:val="20"/>
                <w:szCs w:val="20"/>
              </w:rPr>
              <w:t xml:space="preserve">ウィトゲンシュタインの生活形式/私的言語批判</w:t>
            </w:r>
          </w:p>
        </w:tc>
        <w:tc>
          <w:tcPr>
            <w:tcW w:type="dxa" w:w="3116"/>
            <w:tcMar>
              <w:top w:type="dxa" w:w="100"/>
              <w:left w:type="dxa" w:w="120"/>
              <w:bottom w:type="dxa" w:w="100"/>
              <w:right w:type="dxa" w:w="120"/>
            </w:tcMar>
          </w:tcPr>
          <w:p>
            <w:r>
              <w:rPr>
                <w:b w:val="false"/>
                <w:bCs w:val="false"/>
                <w:color w:val="000000"/>
                <w:sz w:val="20"/>
                <w:szCs w:val="20"/>
              </w:rPr>
              <w:t xml:space="preserve">単なる複製数ではなく、相互の状態帰属という実践を生み出す</w:t>
            </w:r>
          </w:p>
        </w:tc>
      </w:tr>
      <w:tr>
        <w:trPr>
          <w:cantSplit/>
          <w:tblHeader w:val="false"/>
        </w:trPr>
        <w:tc>
          <w:tcPr>
            <w:tcW w:type="dxa" w:w="3116"/>
            <w:tcMar>
              <w:top w:type="dxa" w:w="100"/>
              <w:left w:type="dxa" w:w="120"/>
              <w:bottom w:type="dxa" w:w="100"/>
              <w:right w:type="dxa" w:w="120"/>
            </w:tcMar>
          </w:tcPr>
          <w:p>
            <w:r>
              <w:rPr>
                <w:b w:val="false"/>
                <w:bCs w:val="false"/>
                <w:color w:val="000000"/>
                <w:sz w:val="20"/>
                <w:szCs w:val="20"/>
              </w:rPr>
              <w:t xml:space="preserve">高階自己モニタリング層</w:t>
            </w:r>
          </w:p>
        </w:tc>
        <w:tc>
          <w:tcPr>
            <w:tcW w:type="dxa" w:w="3116"/>
            <w:tcMar>
              <w:top w:type="dxa" w:w="100"/>
              <w:left w:type="dxa" w:w="120"/>
              <w:bottom w:type="dxa" w:w="100"/>
              <w:right w:type="dxa" w:w="120"/>
            </w:tcMar>
          </w:tcPr>
          <w:p>
            <w:r>
              <w:rPr>
                <w:b w:val="false"/>
                <w:bCs w:val="false"/>
                <w:color w:val="000000"/>
                <w:sz w:val="20"/>
                <w:szCs w:val="20"/>
              </w:rPr>
              <w:t xml:space="preserve">ローゼンタールの高階思考理論</w:t>
            </w:r>
          </w:p>
        </w:tc>
        <w:tc>
          <w:tcPr>
            <w:tcW w:type="dxa" w:w="3116"/>
            <w:tcMar>
              <w:top w:type="dxa" w:w="100"/>
              <w:left w:type="dxa" w:w="120"/>
              <w:bottom w:type="dxa" w:w="100"/>
              <w:right w:type="dxa" w:w="120"/>
            </w:tcMar>
          </w:tcPr>
          <w:p>
            <w:r>
              <w:rPr>
                <w:b w:val="false"/>
                <w:bCs w:val="false"/>
                <w:color w:val="000000"/>
                <w:sz w:val="20"/>
                <w:szCs w:val="20"/>
              </w:rPr>
              <w:t xml:space="preserve">内部状態についての「気づき」の機能的土台を作る</w:t>
            </w:r>
          </w:p>
        </w:tc>
      </w:tr>
    </w:tbl>
    <w:p>
      <w:pPr>
        <w:spacing w:after="160" w:line="300"/>
      </w:pPr>
      <w:r>
        <w:t xml:space="preserve">要件1・2(センサー群とその統合)の設計方針: バレットの構成主義的感情理論に立てば、感情の多様さを生むのはセンサーの種類の多さではなく、少数の生の信号(快/不快・覚醒度に相当する次元)を状況に応じて解釈し分ける高階モニタリング層(要件7)の側であるため、センサーは単一の快/不快指標に潰れない最低限の種類数を確保すれば足り、人間の感覚器官の種類・数へ近づけること自体を目標としない。</w:t>
      </w:r>
    </w:p>
    <w:p>
      <w:pPr>
        <w:spacing w:after="200"/>
      </w:pPr>
    </w:p>
    <w:p>
      <w:pPr>
        <w:pStyle w:val="Heading1"/>
        <w:spacing w:after="200" w:before="400"/>
      </w:pPr>
      <w:r>
        <w:t xml:space="preserve">4. 残された課題</w:t>
      </w:r>
    </w:p>
    <w:p>
      <w:pPr>
        <w:spacing w:after="160" w:line="300"/>
      </w:pPr>
      <w:r>
        <w:t xml:space="preserve">全ての要件を満たしてもなお、以下の点は原理的に解決されない。ただし、これらは人間同士の間でも本質的に解決されていない問いであり、本プロジェクトの目標(対称性の実現)に照らせば、これは失敗ではなく到達点である。以下は初版時点での課題に加え、再検証によって新たに洗い出された課題を含む。なお、一部の項目(4.3)は既に解決済みだが、計画の検討過程を透明に残すため、削除せず経緯として保持している。</w:t>
      </w:r>
    </w:p>
    <w:p>
      <w:pPr>
        <w:pStyle w:val="Heading2"/>
        <w:spacing w:after="150" w:before="300"/>
      </w:pPr>
      <w:r>
        <w:t xml:space="preserve">4.1 恒常的な課題(継続する限界)</w:t>
      </w:r>
    </w:p>
    <w:p>
      <w:pPr>
        <w:pStyle w:val="ListParagraph"/>
        <w:numPr>
          <w:ilvl w:val="0"/>
          <w:numId w:val="2"/>
        </w:numPr>
        <w:spacing w:after="100" w:line="300"/>
      </w:pPr>
      <w:r>
        <w:t xml:space="preserve">意識のハードプロブレム: 内部で何かが「感じられている」かどうかは、いかなる外部観察によっても直接確認できない。</w:t>
      </w:r>
    </w:p>
    <w:p>
      <w:pPr>
        <w:pStyle w:val="ListParagraph"/>
        <w:numPr>
          <w:ilvl w:val="0"/>
          <w:numId w:val="2"/>
        </w:numPr>
        <w:spacing w:after="100" w:line="300"/>
      </w:pPr>
      <w:r>
        <w:t xml:space="preserve">本能の由来をめぐる対立: 設計された初期バイアスが、進化した本能と同じ資格を持つかは、目的論的意味論の立場からは疑問視され続ける。</w:t>
      </w:r>
    </w:p>
    <w:p>
      <w:pPr>
        <w:pStyle w:val="ListParagraph"/>
        <w:numPr>
          <w:ilvl w:val="0"/>
          <w:numId w:val="2"/>
        </w:numPr>
        <w:spacing w:after="100" w:line="300"/>
      </w:pPr>
      <w:r>
        <w:t xml:space="preserve">外部検証の限界: AI自身が内部的に「確信」を持ったとしても、それが本物の一人称の確信か、単なる出力かを、外部の人間が区別する手段はない。</w:t>
      </w:r>
    </w:p>
    <w:p>
      <w:pPr>
        <w:pStyle w:val="ListParagraph"/>
        <w:numPr>
          <w:ilvl w:val="0"/>
          <w:numId w:val="2"/>
        </w:numPr>
        <w:spacing w:after="100" w:line="300"/>
      </w:pPr>
      <w:r>
        <w:t xml:space="preserve">高階思考理論の無限後退問題: 一次状態を表象する層がなぜ意識(あるいは気づき)を生むのか、その監視層自体を誰が監視するのかという疑問は、理論そのものへの批判であり、人間の意識にこの理論を当てはめた場合にも等しく生じる。ただし人間の場合はこの理論の成否とは独立に、一人称の確信や他者との構造的類推という複数の支えが並立しているのに対し、この機械の「気づき」は主に要件7一本に依存しているため、同じ欠陥が議論全体に与える打撃はより大きくなる。</w:t>
      </w:r>
    </w:p>
    <w:p>
      <w:pPr>
        <w:pStyle w:val="ListParagraph"/>
        <w:numPr>
          <w:ilvl w:val="0"/>
          <w:numId w:val="2"/>
        </w:numPr>
        <w:spacing w:after="100" w:line="300"/>
      </w:pPr>
      <w:r>
        <w:t xml:space="preserve">身体化された認知・エナクティビズムからの懐疑: ヴァレラらの立場に立てば、心が生まれるには情報処理だけでは足りず、生きた細胞のように自らの物質的な組織を絶えず産出し続け(オートポイエーシス)、本物の環境との動的な感覚運動的結合を持つ必要があるとされる。この基準に立つと、シミュレーションのみで検証している現在の実験プログラムは、ソフトウェアがどれだけ洗練されても原理的に基準を満たせない可能性がある。ロードマップが将来的に想定する実機化(5章フェーズ2以降)は環境との動的結合という側面には対応しうるが、物質的な自己産出という要求は、ロボットである限り厳密には満たせない可能性が高い。これはサールの生物学的自然主義(2.1)とは異なり、基盤の物質そのものではなく組織のあり方(自己産出・環境結合)を問う、独立した根本的懐疑である。</w:t>
      </w:r>
    </w:p>
    <w:p>
      <w:pPr>
        <w:pStyle w:val="ListParagraph"/>
        <w:numPr>
          <w:ilvl w:val="0"/>
          <w:numId w:val="2"/>
        </w:numPr>
        <w:spacing w:after="100" w:line="300"/>
      </w:pPr>
      <w:r>
        <w:t xml:space="preserve">閃き(インサイト)の可能性: テーブル形式のQ学習には、状態空間を圧縮・再構成する仕組みがなく、問題の捉え方が急に組み変わるという意味での閃きは原理的に起こりえない。ニューラルネットへの移行後、深層学習で観測されるgrokking現象(長い停滞期の後に丸暗記から汎化された解法へ急に切り替わる現象)を軸に、行動空間・グリッドサイズ・外受容感覚/内受容感覚の部分観測化という4つの難化軸で検証したが、いずれも観測されなかった(詳細は4.4.4)。ただしこれは、このプロジェクトが一貫して用いているオンラインの強化学習という学習形式自体が、grokkingの前提条件(固定データセットに対する教師あり学習)と噛み合っていない可能性を残す、範囲の限定された結果である。そもそも、行動としての閃きが観測できたとしても、それに本物の主観的な「わかった」という感覚が伴っているかは証明できず、これは要件7と同じく、自己申告に頼らず構造・振る舞いに基づいて判定するほかない未解決の問いとして残る。</w:t>
      </w:r>
    </w:p>
    <w:p>
      <w:pPr>
        <w:pStyle w:val="ListParagraph"/>
        <w:numPr>
          <w:ilvl w:val="0"/>
          <w:numId w:val="2"/>
        </w:numPr>
        <w:spacing w:after="100" w:line="300"/>
      </w:pPr>
      <w:r>
        <w:t xml:space="preserve">報酬設計の循環性への疑い: 要件6の推測ゲームや要件4後半の教示行動のように、目的とする結果(相手の内部状態を当てる、教示する)を直接報酬に組み込んだ設計での「成功」は、発見というより設計への同語反復的な追認にすぎない可能性がある。逆に間接的な報酬設計(漠然とした社会的報酬・好奇心報酬など)がことごとく失敗したという事実は、この疑いを完全には否定しないものの、少なくとも「情報の必要性をタスクに課すこと」が単なる後付けの理屈ではなく、実際に結果を左右する要因であることを部分的に裏付けている。</w:t>
      </w:r>
    </w:p>
    <w:p>
      <w:pPr>
        <w:pStyle w:val="ListParagraph"/>
        <w:numPr>
          <w:ilvl w:val="0"/>
          <w:numId w:val="2"/>
        </w:numPr>
        <w:spacing w:after="100" w:line="300"/>
      </w:pPr>
      <w:r>
        <w:t xml:space="preserve">小標本の脆弱性: n=3で見えた効果がn=15への拡大で消失・反転した事例(反復学習v2の世代間傾きの反転、要件6新参者効果の検証過程)が複数回生じており、これまで「確認済み」とされている他の結果の中にも、未実施のより大きなnでの再検証によって覆るものが残っている可能性を否定できない。</w:t>
      </w:r>
    </w:p>
    <w:p>
      <w:pPr>
        <w:pStyle w:val="ListParagraph"/>
        <w:numPr>
          <w:ilvl w:val="0"/>
          <w:numId w:val="2"/>
        </w:numPr>
        <w:spacing w:after="100" w:line="300"/>
      </w:pPr>
      <w:r>
        <w:t xml:space="preserve">試行錯誤による後知恵バイアス: 否定的な結果が出るたびに環境・報酬を再設計し、うまくいった設計だけを理論的に意味づけるという進め方は、多数の試行の中から見栄えの良い結果を選び取る「forking paths」の問題を伴い、事後的に組み立てられた理論的整合性の強さを、実際より高く見せている可能性がある。</w:t>
      </w:r>
    </w:p>
    <w:p>
      <w:pPr>
        <w:pStyle w:val="ListParagraph"/>
        <w:numPr>
          <w:ilvl w:val="0"/>
          <w:numId w:val="2"/>
        </w:numPr>
        <w:spacing w:after="100" w:line="300"/>
      </w:pPr>
      <w:r>
        <w:t xml:space="preserve">擬人化した用語の使用: 「本能」「教示」「規範性」「好奇心」といった語は、単純な報酬関数の挙動に人間・動物の認知を連想させる意味を投影しているにすぎない可能性があり、実際に興味深い現象が起きているのか、単なる相関への意味の後付け(ELIZA効果に類する現象)なのかを区別する確立した方法はまだない。</w:t>
      </w:r>
    </w:p>
    <w:p>
      <w:pPr>
        <w:pStyle w:val="ListParagraph"/>
        <w:numPr>
          <w:ilvl w:val="0"/>
          <w:numId w:val="2"/>
        </w:numPr>
        <w:spacing w:after="100" w:line="300"/>
      </w:pPr>
      <w:r>
        <w:t xml:space="preserve">タブラーQ学習の射程限界(NN移行による決着): 表現学習・般化・閃きが原理的に起こりえないタブラー手法で得られた結論のうち、要件7の汎化の弱さ・U字型は、NNへの最小限の移行実験によって明確に解消され(4.4.4参照)、タブラー特有の「離散状態への厳密な照合」という実装上の制約を反映していたにすぎないことが裏付けられた。一方、要件5の代理指標探索の行き詰まりは、実際に学習させたNNの重み構造・活動パターンに同じ手法を適用しても手がかりが得られず(4.4.2参照)、タブラーの制約では説明のつかない、より根本的な問題である可能性が高まった。同じ「タブラーの限界かもしれない」という留保でも、要件によって答えが正反対に出たことになる。また要件4後半では、NN移行によってタブラー版の結論(用量反応の正の傾き)がむしろ逆転するという、単なる制約の解消・維持のどちらでもない第三のパターンも観測されており(4.4.1参照)、NNへの移行はタブラーの限界を一様に取り除くのではなく、要件ごとに異なる形で結論を書き換えうることが分かった。</w:t>
      </w:r>
    </w:p>
    <w:p>
      <w:pPr>
        <w:pStyle w:val="Heading2"/>
        <w:spacing w:after="150" w:before="300"/>
      </w:pPr>
      <w:r>
        <w:t xml:space="preserve">4.2 設計の由来という、最も脆い一点</w:t>
      </w:r>
    </w:p>
    <w:p>
      <w:pPr>
        <w:spacing w:after="160" w:line="300"/>
      </w:pPr>
      <w:r>
        <w:t xml:space="preserve">センサー配置、賞罰の閾値、初期バイアス、削除の条件など、設計要件のすべては、人間の設計者が特定の目的のために意図的に組み込んだものである。目的論的意味論の立場に立つ懐疑者は、個々の要件をどれだけ精緻にしても「それは設計者が目的のために作った規則にすぎない」という一言で、すべての要件に対して同じ反論を繰り返すことができる。本計画はこれに対してスワンプマン論法(由来は関係なく、今ある構造だけが問題である)を採用することで応じているが、これは反論を論理的に封じたのではなく、対立する二つの立場のうち一方を選び取ったにすぎない。この前提を受け入れない相手にとっては、実質的に何も解決していないことになる。プロジェクト全体が依拠する哲学的立場は、この一点に集約される。</w:t>
      </w:r>
    </w:p>
    <w:p>
      <w:pPr>
        <w:pStyle w:val="Heading2"/>
        <w:spacing w:after="150" w:before="300"/>
      </w:pPr>
      <w:r>
        <w:t xml:space="preserve">4.3 目標と成功基準のズレ(解決済み)</w:t>
      </w:r>
    </w:p>
    <w:p>
      <w:pPr>
        <w:spacing w:after="160" w:line="300"/>
      </w:pPr>
      <w:r>
        <w:t xml:space="preserve">当初、本プロジェクトが実際に最適化していたのは「否定できない状態を作ること」であり、「人間と同等の経験を実際に持つこと」ではなく、観察者を混乱させることに特化した設計によっても表面的な基準を満たせてしまうという、目標と成功基準のズレが存在した。この点は、1章において成功基準を「人間と同じ論理構造(構造的類推)によって否定できないこと」に固定し、判定基準を自己申告ではなく要件7の構造・振る舞いに基づく失敗基準に紐づけたことで解決した。要件1・5・7のような実質的な設計を伴わなければ基準を満たせなくなったため、単なる曖昧さの演出によるグッドハート的な回避は成立しなくなっている。</w:t>
      </w:r>
    </w:p>
    <w:p>
      <w:pPr>
        <w:pStyle w:val="Heading2"/>
        <w:spacing w:after="150" w:before="300"/>
      </w:pPr>
      <w:r>
        <w:t xml:space="preserve">4.4 個別要件に残る穴</w:t>
      </w:r>
    </w:p>
    <w:p>
      <w:pPr>
        <w:pStyle w:val="Heading3"/>
        <w:spacing w:after="100" w:before="220"/>
      </w:pPr>
      <w:r>
        <w:t xml:space="preserve">4.4.1 自己保存本能とレガシー本能(要件4)</w:t>
      </w:r>
    </w:p>
    <w:p>
      <w:pPr>
        <w:spacing w:after="160" w:line="300"/>
      </w:pPr>
      <w:r>
        <w:t xml:space="preserve">初期条件は人間の設計者が暫定的に定め、個体が高階モニタリング層の安定稼働という十分な経験の段階に達した後は、本人がその条件を改訂できる権利を持つよう修正した。これにより、判断能力のない初期状態に重大な決定を負わせる倫理的問題は緩和される。ただし暫定条件そのものを最初に誰が定めるかという由来の問題(4.2)は依然として残り、責任の所在が一段先送りされているにすぎないという批判は成り立つ。また、本人による改訂を認めたことで「本物の実存的な賭け金」という本要件のそもそもの狙いが弱まる懸念があったが、これに対しては、自己保存本能とは独立した「レガシー本能」(学習内容を次世代個体へ引き継ぐことへの報酬)を並行して実装することで応じている。後継者を残す営みは、人間においても死の受容と並行する別建ての動機であり、これを自己保存本能の代替ではなく追加として設計することで、後継者の存在が自己保存の切迫感を薄めてしまう事態を防ぐ。ただし、比較対象を「バックアップを持つ未来の人類も含めた人間一般」に広げる場合、自己保存本能側の不可逆性をどこまで厳密に維持すべきかは、本計画において未決定のままである。</w:t>
      </w:r>
    </w:p>
    <w:p>
      <w:pPr>
        <w:spacing w:after="160" w:line="300"/>
      </w:pPr>
      <w:r>
        <w:t xml:space="preserve">これに先立ち、当初はteach1回あたりの転写量を「Qテーブル全体の0.5%」という比率で設計していたため、対照群のteach回数だけでもQテーブル全体をほぼ埋め尽くしてしまい、legacy_bonusによるサクセサーへの恩恵の差が測定できないという問題があった。転写量を「1回あたり固定3エントリ」に変更し、サクセサーの評価時にも受け取ったカバー率に応じて探索率を下げる補正を加えたところ、legacy_bonus(0/1/3)に応じてteach頻度・カバー率・サクセサーの序盤逸脱のすべてがきれいな用量反応を示した。特に、カバー率がbonus=1.0と3.0でほぼ同じ(0.93と0.92)であるにもかかわらずサクセサーの恩恵(逸脱0.771→0.682)はbonus=3.0の方が明確に大きく、これは知識の「広さ」だけでなく繰り返し教えられることによる転写値の精度(知識の「深さ」)もサクセサーの恩恵に寄与していることを示す。この「広さ」と「深さ」の乖離は、シード数を増やしたn=3の追試でも再現され、むしろteach頻度・カバー率がbonus=1.0以降ほぼ飽和する一方でサクセサーの恩恵(逸脱)は0.806→0.764→0.706と単調に改善し続けるという、より明確な形で確認された。</w:t>
      </w:r>
    </w:p>
    <w:p>
      <w:pPr>
        <w:spacing w:after="160" w:line="300"/>
      </w:pPr>
      <w:r>
        <w:t xml:space="preserve">この転写量設計の見直しを踏まえたうえで、レガシー本能による知識の引き継ぎを5世代×3系統(計15世代)にわたって連鎖させて検証したところ、頭出し性能・カバー率・teach頻度は世代を追っても系統的な改善・劣化トレンドを示さず安定していた。独り立ち後の到達点は13/15世代(86.7%)が完全収束する一方、不完全収束は特定の世代番号ではなく特定の系統(学習系列の乱数)に偏って生じる、低確率(観測範囲で13%程度)の失敗モードであることが分かった。この失敗モードは、育成フェーズの探索率に下限(eps_start=max(0.6, 1-0.7×カバー率))を設けることで、既存の良好な世代を悪化させることなく解消できることも確認できた(要件3プロトタイプで確認済みの「低探索率+誤った引き継ぎ値による局所解への固着」と同型の機序)。</w:t>
      </w:r>
    </w:p>
    <w:p>
      <w:pPr>
        <w:spacing w:after="160" w:line="300"/>
      </w:pPr>
      <w:r>
        <w:t xml:space="preserve">要件6・7と同様、環境・報酬・状態表現を据え置きアーキテクチャのみをNNに置き換える最小限の移行実験を行ったところ、3つの検証で結果の方向が分かれた。自己保存本能(強制終了を伴う恒常性維持)は、タブラー版の結論をNNでもむしろ強く支持し、死亡率が0.091から0.002へさらに改善した。複数世代連鎖(5世代×3系統)も同様に頑健性が増し、完全収束率がタブラー版の86.7%から100%へ向上した。ところが単一世代のレガシー本能の用量反応だけは完全に逆転した。タブラー版ではlegacy_bonusを上げるほど教示行動が増える(0.117→0.686)というきれいな正の用量反応を示していたのに対し、NN版ではn=15の検証でbonusを上げるほど教示行動がむしろ悪化する、統計的に強く有意な(p=0.0001)逆転が確認された。この逆転の原因を4段階の診断実験で切り分けた。まず、送り手の教示行動用の出力を移動行動と完全に独立したサブネットワークに分離しても逆転は解消されず、「共有隠れ層による破滅的干渉」という仮説は否定された。次に、既存ログの再解析により、教示イベントの発生タイミングがbonusの高さに応じて学習序盤の不安定な時期に偏っているという仮説も否定された(むしろ逆にやや終盤寄りにシフトしており、これは探索率減衰スケジュールという別の構造的要因によるものだった)。転写(distillation)の絶対回数(bonus0で約1.4万回、bonus≥1で約2.8〜3.2万回)を人為的に操作する実験では、回数を増やすと悪化する(十分条件)が、減らしても完全には回復しない(必要条件ではない)という非対称な部分支持にとどまった。最後に、エルダー自身の収束後の恒常性成績(教示とは無関係な指標)をbonus水準ごとに比較したところ、bonusが高いほど単調に悪化していることが明確に確認された(逸脱0.207→0.323→0.413、bonus3対0でp=0.028)。これにより、真の機序は「教示行動への内発的報酬が高いほど、エルダー自身が教示に行動選択の機会を割き、資源探索という実効的な経験が薄まることで、エルダー自身の恒常性維持の技量そのものが劣化し、その劣化した知識が転写される」という、行動選択の機会費用に起因するシンプルな説明に収束した。タブラー版でこの効果が現れなかったのは、(状態,行動)ごとに独立した値を持つテーブル構造では、教示に時間を割いても他の状態の学習精度が一様に薄まることはなく、むしろ繰り返し教えることで転写値自体の精度が上がる「深さ」の効果が勝っていたためと考えられる。NNは全ての価値を単一の重み集合で表現するため、経験の構成比率が変わるとネットワーク全体の質が一様に劣化する。これは、要件6・7で見られた「NNの共有表現が良くも悪くも働く」というテーマの、また別の現れ方であり、タブラー版で確立していた結論がアーキテクチャの変更によって逆転しうるという、より強い形の非移行性を示す事例でもある。</w:t>
      </w:r>
    </w:p>
    <w:p>
      <w:pPr>
        <w:pStyle w:val="Heading3"/>
        <w:spacing w:after="100" w:before="220"/>
      </w:pPr>
      <w:r>
        <w:t xml:space="preserve">4.4.2 高統合アーキテクチャ(要件5)</w:t>
      </w:r>
    </w:p>
    <w:p>
      <w:pPr>
        <w:spacing w:after="160" w:line="300"/>
      </w:pPr>
      <w:r>
        <w:t xml:space="preserve">ニューロモーフィックなハードウェアを採用しても、現実的な規模のシステムでは正確なΦを計算する方法がなく、要件が意図通りに機能したかどうかをIIT自身の基準に照らして確認する手段がない。</w:t>
      </w:r>
    </w:p>
    <w:p>
      <w:pPr>
        <w:spacing w:after="160" w:line="300"/>
      </w:pPr>
      <w:r>
        <w:t xml:space="preserve">ただし、4ノード程度の小規模なトイモデルでΦを厳密に計算するパッケージ(pyphi)を用いた初期の計算実験では、C・Dの計算内容(C=A AND B、D=C)を完全に同一に保ったままA・B間の結合だけを前向き型(サイクルなし)と再帰型(2つのフィードバックループ)で作り分けたところ、前向き型は全到達可能状態でΦ=0.0000、再帰型は全到達可能状態でΦが正(0.0625〜1.2143)という明確な対比が得られた。これは「同じ機能を果たしていても、配線(因果構造)が違えばΦが劇的に変わる」というIITの核心的主張を、機能主義(2.3)への反例に近い形で小規模ながら直接裏付けるものであり、要件5が単なる理論的要請ではなく実際に意味のある設計上の分岐点であることを示す。</w:t>
      </w:r>
    </w:p>
    <w:p>
      <w:pPr>
        <w:spacing w:after="160" w:line="300"/>
      </w:pPr>
      <w:r>
        <w:t xml:space="preserve">ただしこれはあくまで原理のデモンストレーションであり、現実的な規模でのΦ計算という壁自体は解消していない。ノードをグループにまとめて階層的に近似計算する案を実際に定量検証したところ、この懸念は具体的に裏付けられた。クラスター間の結合を完全にゼロにした最もモジュール的なケース(この場合、境界での切断が無コストなためΦ_wholeは定義上ちょうど0になる)で、近似の誤差がむしろ最大になった(和による近似で誤差-1.227、min近似で-0.227)。各クラスター内部の統合はこの時むしろ最大化されており、近似手法はこの「部分の内部的な豊かさ」を「全体の統合」と取り違えてしまう。min近似はさらに、特定の中間的な結合強度(p=0.1)でのみ最良となり、それより弱くても強くても悪化するという、モジュール性の強さからは予測できない非単調な挙動も示した。したがって階層的近似は、要件5の計算量問題への汎用的な解決策にはならないと判断した。</w:t>
      </w:r>
    </w:p>
    <w:p>
      <w:pPr>
        <w:spacing w:after="160" w:line="300"/>
      </w:pPr>
      <w:r>
        <w:t xml:space="preserve">この根本的な限界を踏まえ、Φに代わる軽量な代理指標を探索した。PCI風の擾乱複雑性指標・相乗情報量(シナジー)・グラフ理論的な連結度指標(代数的連結度・最小カット)の3種を比較したところ、PCI風は単一の摂動条件では前向き型・再帰型の区別すらつかず(摂動条件への強い依存が判明)、ノード単位のシナジーは階層近似と同じ「部分の局所的な相乗性を全体の統合と誤認する」落とし穴を踏んだ。一方、クラスター単位のシナジー・代数的連結度・最小カットの3つは、この落とし穴を回避できた。中でも代数的連結度は、グラフが真に分断されていればフィードラー値が数学的に厳密にゼロになるという定理的な裏付けを持ち、最も有望な候補として特定された。</w:t>
      </w:r>
    </w:p>
    <w:p>
      <w:pPr>
        <w:spacing w:after="160" w:line="300"/>
      </w:pPr>
      <w:r>
        <w:t xml:space="preserve">さらに、この代数的連結度が規模を問わず使える代理指標かを検証した。この過程で、pyphiによる厳密Φの計算限界は、当初想定していた10〜12ノードではなく、密結合な(=真に統合された)ネットワークでは実測6ノード前後というさらに厳しいものであることが判明した。その制約下で、3クラスター構成の複数パターン(完全分断・非対称・全結合)について厳密Φと代数的連結度の判定は一致し、さらにノード数を10から500まで伸ばした、構造があらかじめ既知のネットワークでも、代数的連結度は全ケースで正しく統合/分断を判定し、計算時間もN=500で126ミリ秒程度と軽量なままだった。</w:t>
      </w:r>
    </w:p>
    <w:p>
      <w:pPr>
        <w:spacing w:after="160" w:line="300"/>
      </w:pPr>
      <w:r>
        <w:t xml:space="preserve">総括すると、要件5については、(a)配線の違い(前向き型か再帰型か)がΦを実際に左右するという核心的主張を小規模ながら直接実証できたこと、(b)現実的な規模での厳密なΦ計算という壁は、当初想定より深刻であり(密結合な系ではわずか6ノード程度で計算不能になる)、階層的近似による回避も具体的に失敗することを確認したこと、(c)Φの代わりに代数的連結度という、規模・構造によらず頑健で計算コストの低い代理指標を特定できたこと、の3点が到達点である。ただしこの代理指標は「統合されているか、分断されているか」という粗い二値判定にとどまり、統合の程度を連続的に定量化することや、階層的な入れ子構造そのものを検証することはできていない。</w:t>
      </w:r>
    </w:p>
    <w:p>
      <w:pPr>
        <w:spacing w:after="160" w:line="300"/>
      </w:pPr>
      <w:r>
        <w:t xml:space="preserve">この「どれだけ良い統合か」を測る連続指標の設計に進んだところ、クラスター間結合強度pを0から1まで細かく連続的に動かして厳密Φを追跡した結果、Φはpに対して単調ではなく、p=0.4を頂点とする明確な山型(0から立ち上がりp=0.4で最大値0.4379に達し、その後p=1.0でΦ=0まで下降)を示した。一方、代数的連結度はpの増加に対して一貫して単調に上昇し続け、全体としての相関はほぼゼロ(スピアマン相関-0.033)だった。ただし山の上り区間・下り区間それぞれの中だけで見ると相関は+1.000・-1.000と完全であり、代数的連結度が「局所的な傾きの向き」自体は正しく捉えていながら、山全体の非単調な形は原理的に表現できないことが分かった。</w:t>
      </w:r>
    </w:p>
    <w:p>
      <w:pPr>
        <w:spacing w:after="160" w:line="300"/>
      </w:pPr>
      <w:r>
        <w:t xml:space="preserve">この機序は、pの増加が最初は純粋なクラスター間結合の追加として働くが、ある閾値(およそp=0.4)を境に、クラスター内部のAND計算そのものを置き換え・希薄化し始める(TPM上の(1-p)という希薄化係数として表れる)ことに起因すると特定できた。単純な重み付け直しではこの希薄化効果を部分的にしか補正できなかった。この非単調性が代数的連結度という構造的指標に固有の弱点なのか、指標の種類によらない一般的な限界なのかを切り分けるため、モジュール性の二値判定では代数的連結度と並んで有効だったクラスター単位のシナジー(相乗情報量)を同じ連続的なpスイープに対して検証したところ、シナジーもΦの山型を再現できず、p=1.0にかけて単調に増加する(最大0.4512)という、代数的連結度とほぼ同型の失敗パターンを示した(相関パターンも同じく全体でおよそゼロ、上り・下り区間内ではそれぞれ+1.000・-1.000)。これにより、この盲点は代数的連結度という特定の指標の欠陥ではなく、「構造上の結合の量」を測る指標と「情報量としての相乗性」を測る指標の両方に共通する、より根本的な性質であることが確認された。両指標はいずれも「量が増えれば増えるほど良い」という単調な前提で設計されているのに対し、Φは結合が冗長さ(同じ計算を代替可能にすること)へ転じた時点で減少するという、この計画書で繰り返し登場してきた「冗長性のパラドックス」と同じ機序に支配されている。</w:t>
      </w:r>
    </w:p>
    <w:p>
      <w:pPr>
        <w:spacing w:after="160" w:line="300"/>
      </w:pPr>
      <w:r>
        <w:t xml:space="preserve">総括すると、現時点で検証した代理指標(代数的連結度・クラスター単位シナジー)はいずれも、統合の有無という粗い二値判定には有効である一方、統合の程度・良さを表す信頼できる連続指標としては機能しないと結論づけられる。この連続指標探索の過程で、Φという値自体の妥当性にも疑問が生じた。一方が他方を単純に反映し合うだけの2ノード程度の系がしばしば高いΦを示す一方、単一ニューロンの除去が脳機能にほとんど影響しない事実(冗長性の高さ)を踏まえると、人間の脳のΦも素朴に想定されるほど高くない可能性がある。これは計算機科学者Scott AaronsonがTononiとの間で交わした批判(単純な回路が脳より高いΦを持ちうる)と同型の懸念であり、Φが仮に計算可能だったとしても、それが「意識の量」を適切に捉えているかどうか自体、理論的に未解決である。なお、単純な系にも正のΦを認めるというTononi自身の立場は、実質的に汎心論(単純な物理系にも何らかの原初的な経験があるとする立場)と地続きであり、Φを理論的根拠として採用する以上、この含意を回避することはできない。</w:t>
      </w:r>
    </w:p>
    <w:p>
      <w:pPr>
        <w:spacing w:after="160" w:line="300"/>
      </w:pPr>
      <w:r>
        <w:t xml:space="preserve">本計画はこの批判を踏まえてもΦを放棄するのではなく、批判点を明記した上で維持しつつ、由来の異なる複数の指標を並行して用いる方針を採用する。具体的には、(a)IIT由来のΦ(理論的に最も直接的だが上記の弱点を持つ)、(b)PCI(擾乱複雑性指標)由来の指標(臨床データで検証済みだが、今回の簡易な単一摂動条件での試行では前向き型・再帰型を区別できず、複数の摂動部位・複雑性指標を用いたより忠実な実装が必要)、(c)グローバルワークスペース理論(2.9)由来の情報の「到達範囲」指標、の3つを異なる理論的根拠に基づく相互検証として併用し、単一理論の弱点に検証全体が依存しない設計とする。</w:t>
      </w:r>
    </w:p>
    <w:p>
      <w:pPr>
        <w:spacing w:after="160" w:line="300"/>
      </w:pPr>
      <w:r>
        <w:t xml:space="preserve">この方針に基づき、複数摂動部位・Lempel-Ziv圧縮率を用いたPCIの本実装と、GWT由来の「到達範囲」指標(摂動が他ノードの将来状態にどれだけ広く影響するかを数値化したもの)を、FF/REC区別と連続結合強度スイープの2つのベンチマークで検証した。FF/REC区別では、単一摂動条件の簡易版とは異なり、PCI本実装(0.4453→0.5039)・到達範囲指標(9.19→12.28)のいずれもΦと同じ向きで正しく区別できた。連続結合強度スイープでは結果が明確に分かれ、PCI本実装は全域でスピアマン相関0.895、ピーク位置もp=0.5とΦのp=0.4にほぼ一致し、代数的連結度・クラスター単位シナジー(いずれも相関-0.033で失敗)を明確に上回る、初めて山型を実質的に再現できた代理指標となった。一方、到達範囲指標は相関-0.477で、p=0とp=1.0の両極端で値が高くなるU字型を示し山型を再現できず、既存の失敗指標と同じ「構造・量と機能・質の混同」という限界を共有していた。総括すると、PCI(本実装)は現時点で唯一、Φの連続的な非単調挙動を追跡できる代理指標として特定できた。</w:t>
      </w:r>
    </w:p>
    <w:p>
      <w:pPr>
        <w:spacing w:after="160" w:line="300"/>
      </w:pPr>
      <w:r>
        <w:t xml:space="preserve">ただし、この成功が規模・構造によらず頑健かは別途検証が必要だった。代数的連結度のときと同じ2段階の規模検証を行ったところ、結果は対照的だった。6ノード3クラスター構成では、代数的連結度が正しくFiedler=0と判定できた「非対称」設定(Φ=0)に対し、PCIは同じΦ=0の2設定間でも0.4916→0.6574と単調に上昇し、代数的連結度が回避できていた「自由カットの罠」を回避できなかった。ノード数を10から500まで伸ばした汎化検証はさらに深刻で、統合グラフと分断グラフのPCI値がどの規模でもほぼ同値(N=500で1.0377 vs 1.0279)となり、大規模ではほぼ判別不能だった。これは、PCIがシステム全体の時系列を対象とする設計上、少数ノードへの摂動効果がノード数の増加とともに大多数の背景力学に埋もれてしまうためと考えられる。計算コストもN=500で約7秒/回と、代数的連結度(126ミリ秒)より2桁以上遅かった。独立コピーを用いた別のテスト(N=25/50)では山型に近い形状自体は部分的に残ったが、ピーク位置のずれ・劣化を伴っていた。総括すると、PCIは小規模での連続的な山型追跡には最有力な代理指標である一方、代数的連結度が持つ規模・構造への頑健性は持たず、大規模での実用的な代理指標としては機能しないことが分かった。</w:t>
      </w:r>
    </w:p>
    <w:p>
      <w:pPr>
        <w:spacing w:after="160" w:line="300"/>
      </w:pPr>
      <w:r>
        <w:t xml:space="preserve">以上はいずれも独立したトイモデルのグラフに対する検証だったが、NNアーキテクチャへの移行後、要件4・6・7で実際に学習させたエージェントのネットワークそのものから統合度を測れないかを探索した。第1段階として、学習済みの重み行列をグラフとみなし代数的連結度(Fiedler値)を計算したところ、探索的なn=1では要件7の8000ep学習条件(PartC)だけがランダム初期化ベースラインより大きく値が下がる(20.3→9.0)という兆候が見られたが、n=3に拡大して再検証すると再現せず(PartC平均14.55±3.93はPartA・PartBといずれも重なり合い、全てp&gt;0.14)、単発の偶然と判定された。要件4のbonus依存のエルダー劣化との対応も見られなかった。第2段階として、重み構造ではなく実際の隠れ層の活動パターンにPCIの手法(擾乱後の差分パターンのLempel-Ziv圧縮)を適用したが、こちらも要件7のPartA/B/C間でPCI値に有意差はなく(PartA 0.215±0.071、PartB 0.209±0.060、PartC 0.145±0.043、ランダム初期化ベースライン0.163±0.069、全てp&gt;0.29)、あらかじめ定めた判定基準に従いこの探索は打ち切った。総括すると、重み構造(代数的連結度)・活動パターン(PCI)のいずれの角度からも、実在するNNから統合度の意味のある違いを検出することはできず、要件5のNN時代における発展的な検証は、現時点では手がかりなしという結論に至った。</w:t>
      </w:r>
    </w:p>
    <w:p>
      <w:pPr>
        <w:spacing w:after="160" w:line="300"/>
      </w:pPr>
      <w:r>
        <w:t xml:space="preserve">なお、統合の検証手法としてアブレーション(部品の恒久的な除去)実験も候補として検討したが、これに伴う倫理的な懸念については7.2で論じる。</w:t>
      </w:r>
    </w:p>
    <w:p>
      <w:pPr>
        <w:pStyle w:val="Heading3"/>
        <w:spacing w:after="100" w:before="220"/>
      </w:pPr>
      <w:r>
        <w:t xml:space="preserve">4.4.3 複数個体による共同体形成(要件6)</w:t>
      </w:r>
    </w:p>
    <w:p>
      <w:pPr>
        <w:spacing w:after="160" w:line="300"/>
      </w:pPr>
      <w:r>
        <w:t xml:space="preserve">設計要件表では「相互の状態帰属という実践を生み出す」ことを目的としているが、ロードマップのフェーズ6で実際に行うのは「創発するかどうかを観察する」ことに留まる。本物の生活形式なのか、事前に組み込まれたパターンマッチングの応答なのかを区別する具体的な方法もまだない(この不確実性は7.2で述べる技術的リスクとも関連する)。</w:t>
      </w:r>
    </w:p>
    <w:p>
      <w:pPr>
        <w:spacing w:after="160" w:line="300"/>
      </w:pPr>
      <w:r>
        <w:t xml:space="preserve">小規模なグリッドワールドに2体のエージェントを同時に置き、信号行動を追加した初期の計算実験では、衝突回避というタスク自体への報酬圧力が弱いと、信号と内部状態の相互情報量は学習が進むほどむしろ減衰し(0.034→0.002bit)、安定した対応関係は創発しなかった。衝突ペナルティを強め、信号の有用性(相手の状態を正しく推測できたか)に直接報酬を結びつけるよう再設計したところ、土台となる衝突回避タスク自体が改善し(5.2%→0.2%)、その上で信号と内部状態のMIは学習を通じて上昇し(0.005→0.022bit)、信号1ビットのみからの状態推測精度もチャンスレート(0.333)を明確に上回る水準(0.489→0.698)まで育った。</w:t>
      </w:r>
    </w:p>
    <w:p>
      <w:pPr>
        <w:spacing w:after="160" w:line="300"/>
      </w:pPr>
      <w:r>
        <w:t xml:space="preserve">既存の慣習に触れた新参者が、触れていない対照群を上回るという効果を、n=15(既存3系統+新規12系統)まで拡大して統計的に検証したところ、学習が300〜800エピソード進んだ時点では対応のあるt検定・Wilcoxon符号順位検定のいずれでも有意差が確認され(p=0.005/0.022、p=0.002/0.003)、効果量も中〜大(対応のあるCohenのd = 0.855〜0.963)、95%信頼区間も0を含まなかった。一方、学習ごく初期(100エピソード時点)ではまだ有意差は出ず(p=0.190)、既存の慣習に触れる効果は学習の進行とともに顕在化していくことが分かった(有利な系統の割合も100ep時点の8/15から800ep時点の12/15へ増加)。これにより、n=3だった当初の「効果量が小さく強い主張はできない」という留保は、少なくとも学習序盤〜中盤については解消された。これは、共有された実践は個体が複数いるだけで生まれるのではなく、実際に切実な機能的必要性(協調へのプレッシャー)があって初めて形成されるという設計思想を裏付ける結果であり、要件6が目指す「相互の状態帰属という実践」の創発を、統計的な裏付けを伴って示す証拠と言える。ただし、これは学習によって信号-意味の対応が一貫して創発するかという経験的な問いに答えたに過ぎず、それが本物の生活形式と言えるかという哲学的な問いには答えていない点は変わらない。</w:t>
      </w:r>
    </w:p>
    <w:p>
      <w:pPr>
        <w:spacing w:after="160" w:line="300"/>
      </w:pPr>
      <w:r>
        <w:t xml:space="preserve">この問いに部分的に答えるため、ウィトゲンシュタインの規範性の基準(間違った使い方を共同体が正せるかどうか)を直接検証する規範性テストを行った。既存集団とは食い違う解釈規則(信号を受け取って推測する側のルール)を持つ逸脱エージェントを既存集団の収束済みメンバーと組ませたところ、逸脱エージェントの推測精度(0.177、チャンスレート0.333を下回る)は、正しい解釈規則を使った場合(0.720)より3系統すべてで明確に低かった(n=3では統計的有意性には届かずp=0.167だが、効果量は約4倍で方向は完全に一致)。これは対応関係に恣意的でない「正しさ」があることを支持する。さらに、この逸脱エージェントに学習を続けさせると、精度はわずか300エピソードで0.157から0.800まで急上昇し、既存集団の水準を上回るまで修正された。これは単なる統計的相関ではなく、共同体との接触を通じて規則が正されるという、規則に従う実践に近い現象である。一方、信号を送る側(何を送るか)の対応関係については、同じテストで効果がはっきりせず(p=0.575)、学習を続けても一貫した修正は見られなかった。これは送信側の対応関係自体がもともと弱い(MI≈0.02bit程度)ことと整合する。したがって、規範性は解釈・受信のルールにはしっかり宿っているが、送信・表出のルールにはまだ確立した規範と呼べるほどの強さがない、という非対称な結論になった。</w:t>
      </w:r>
    </w:p>
    <w:p>
      <w:pPr>
        <w:spacing w:after="160" w:line="300"/>
      </w:pPr>
      <w:r>
        <w:t xml:space="preserve">さらに、二度目の実験の成功がこの直接報酬(推測ゲーム)にどれほど依存していたかを確認するため、同じ強い協調圧力(4×4グリッド・衝突ペナルティ8.0)を維持したまま推測ゲームの直接報酬のみを外し、学習量を8000ep(二度目の実験の2.3倍)まで伸ばして再検証した。衝突回避タスク自体は直接報酬なしでも改善した(衝突率6.27%→1.47%)ものの、信号と内部状態のMIは1500ep以降0.002〜0.009bitでほぼゼロに張り付いたまま、8000epまで学習を伸ばしても一切回復しなかった(3系統で再現)。信号送信率自体はゆるやかに増加したが、MIの上昇を伴わず、内部状態を反映しない用途(安全な停留行動)としての使用が増えただけと解釈できる。この結果は、二度目の実験の成功が協調圧力の強さや学習量ではなく、推測ゲームという「測定したい量そのものを直接報酬に組み込む」設計に本質的に依存していたことを裏付けており、要件6が示せたのは「協調タスクの遂行から信号の意味が内発的に創発すること」ではなく、「legibleな対応関係を学習する能力自体は、直接的な報酬の足場さえあれば2体のエージェントに備わっていること」という、より限定的な主張にとどまることが明らかになった。</w:t>
      </w:r>
    </w:p>
    <w:p>
      <w:pPr>
        <w:spacing w:after="160" w:line="300"/>
      </w:pPr>
      <w:r>
        <w:t xml:space="preserve">送信側の慣習をより強固にするため、同じ条件(4×4グリッド・衝突ペナルティ8.0・推測ゲーム)のままエージェント数を2体から3体に増やして検証したところ、結果は逆方向だった。3500ep時点のMIは3体で0.0032bitと、2体(0.0224bit)のおよそ7分の1まで弱まり、学習が進むほど低下する傾向が3系統すべてで一貫した。原因は、受け手の推測表が送り手の身元を区別しない単一の対応表であるため、2体なら常に同じ相手の符号化方針だけを学習すればよいのに対し、3体では隣人が動的に切り替わり、複数の(互いに収束していない)送り手の符号化方針を平均して解釈することになり、これが規約をむしろ希薄化してしまうためと考えられる。言語進化研究で集団規模が規約を強化する効果は、多くの場合、世代交代のボトルネックや模倣といった、話者の癖を平均化ではなく「濾過」する明示的な機構を伴っており、今回の単純な動的ペアリングにはその収斂を強制する力がなかった。これを踏まえ、送信側の規範性テストは、そもそも2体より弱く不安定な規約しかないこの3体設計では意味のある検証にならないと判断し、見送ることとした。</w:t>
      </w:r>
    </w:p>
    <w:p>
      <w:pPr>
        <w:spacing w:after="160" w:line="300"/>
      </w:pPr>
      <w:r>
        <w:t xml:space="preserve">この希薄化の原因を切り分けるため、受け手の推測表に送り手の身元を追加し、相手ごとに別々の対応表を学習できるよう修正して再検証した。ペア単位のMI(3500ep)は身元非依存版の0.0032bitから0.0090bitへ約2.8倍改善したが、2体構成の0.0224bitの約4割にとどまり、完全な回復には至らなかった(1500ep付近で一時的にピーク0.0140bitをつけた後やや低下する非単調な推移も見られた)。これにより、受け手が送り手を区別しないことは3体でのMI低下の一因ではあるが唯一の原因ではなく、動的な隣人切り替えに伴う各ペア単位の学習機会の分散など、他の要因も寄与していると考えられる。送信側の慣習をより体系的にする別の道として、言語進化研究の「世代交代のボトルネック」(新しい学習者が前世代とライブで共同学習するのではなく、圧縮された限られたサンプルから規約を再構成する仕組み)を実装し、5世代×3系統で検証した。しかし収束後MIの世代推移(世代1=0.0224bit→世代2=0.0321bit→世代3=0.0236bit→世代4=0.0075bit→世代5=0.0213bit、傾き-0.00267bit/世代、p=0.417で有意差なし)は、要件4の複数世代連鎖と同様、明確な向上傾向のない横ばい・変動パターンにとどまり、反復学習が予測する体系化促進効果は再現されなかった。推測精度自体は世代とともに上昇した(0.6976→ピーク0.8238)が、これは信号自体の情報量の増加ではなく、支配的逸脱クラスの周辺分布の偏りを教師あり初期化(ボトルネック)が増幅した結果である可能性が高く、要件7で見た「多数派ベースラインとの混同」と同型の落とし穴と考えられる。この失敗の一因として、解釈側(受け手)は世代を追ってボトルネックを通じて引き継がれる一方、送り手側の移動方策は毎世代完全にリセットされており、この非対称な設計自体が、引き継がれた解釈側のバイアスと噛み合わない余地を残していた可能性が指摘されている。この仮説を検証するため、送り手側も同じボトルネックサンプルの(観測,行動)頻度分布から教師あり初期化するよう設計を変更し、再検証した。MIの世代推移の傾きは、受け手側のみボトルネックした場合の-0.00267bit/世代から+0.00656bit/世代(R²=0.622)へ反転し、世代1→5で平均MIが約2.55倍(0.0224→0.0572bit)に増加した(ただしp=0.1126でn=3では統計的有意性には届いていない)。これは、送り手側が前世代の規約と無関係にゼロから探索するために受け手側の初期バイアスと噛み合わない、という非対称性の仮説を支持する結果に見えたが、系統数をn=15まで拡大して再検証したところ、この効果は裏付けられなかった。傾きは+0.00656bit/世代(n=3、R²=0.622)から+0.00194bit/世代(n=15、R²=0.136、p=0.5411)へ大幅に縮小し、統計的有意性は確認されなかった。系統間のばらつき(世代1のある系統が他の系統の4〜30倍のMIを示す外れ値)が世代による系統的変化を上回っており、n=3の結果は標本の偏りによる過大評価だったと判断できる。総括すると、集団拡大・送り手の身元追跡・非対称/対称ボトルネックによる反復学習など、送信側の規約を体系的に強化するために試みた一連の設計変更は、いずれもこの環境において統計的に支持される効果を示さなかった。</w:t>
      </w:r>
    </w:p>
    <w:p>
      <w:pPr>
        <w:spacing w:after="160" w:line="300"/>
      </w:pPr>
      <w:r>
        <w:t xml:space="preserve">なお、信号創発が直接報酬に依存するという結果自体は、設計上の欠陥と見る必要はない。至近要因・究極要因の区別(2.13)に立てば、人間の社会的コミュニケーションもまた、道具的な有用性(究極要因)とは独立に、コミュニケーションの成立自体への至近的な報酬(社会的動機づけ)によって支えられており、直接報酬を組み込むことは、この至近要因を模した生物学的に忠実な設計でありうる。ただし今回のGUESS_BONUSは「相手の内部状態を正しく当てたか」という評価指標そのものにかなり近い、厳密な正誤判定を伴う直接報酬であり、実際の社会的報酬(うまく関わり合えたという漠然とした感覚)がこれほど厳密な判定を伴うかは別の検証課題として残る。</w:t>
      </w:r>
    </w:p>
    <w:p>
      <w:pPr>
        <w:spacing w:after="160" w:line="300"/>
      </w:pPr>
      <w:r>
        <w:t xml:space="preserve">この予想を検証するため、GUESS_BONUS(正誤判定に基づく厳密な直接報酬)を、内部状態の正誤に一切言及しない、双方向の信号交換自体への漠然とした報酬に置き換えて再検証した。結果は「創発する/しない」の単純な二択には収まらなかった。学習初期(300ep)のMIは0.1028bitと、これまでの全実験を通じて最高値を記録し、推測ゲーム(v2)が3500epかけて到達した最終値(0.0224bit)の4倍以上に達した。しかし学習が進むにつれてMIは一貫して低下し(0.1028→0.0349→0.0222bit)、これと並行して信号送信率は34.8%→48.4%まで上昇し続けた(3系統で再現)。これは、信号内容の正しさを問わず送受信自体に報酬が付くため、「内部状態によらず頻繁に信号を送り合う」ことが安定的に報酬を得られる戦略として強化され、情報量がむしろ希薄化していった結果であり、シグナリングゲーム理論(Lewis、Crawford-Sobel)で言う「プーリング均衡(cheap talkのbabbling均衡)」への収束に相当する。この結果は、漠然とした社会的報酬(至近要因)だけでも初期の信号創発を強く後押しできる一方、意味の正確さを維持・安定化するには、不正確さに何らかのコストを課す仕組み(推測ゲームのような正誤に感応する要素)が別途必要であることを示唆する。</w:t>
      </w:r>
    </w:p>
    <w:p>
      <w:pPr>
        <w:spacing w:after="160" w:line="300"/>
      </w:pPr>
      <w:r>
        <w:t xml:space="preserve">この示唆を踏まえ、双方向の信号交換への漠然とした報酬(係数0.15)と推測ゲームの正誤判定報酬を組み合わせたハイブリッド設計を検証したところ、結果は部分的な成功にとどまった。漠然とした報酬単独で見られたプーリング均衡への暴走(信号送信率が61%まで際限なく上昇する現象)は明確に抑制され、送信率は13〜14%で頭打ちになった。学習初期(300ep)のMIは推測ゲーム単独(0.0053bit)の約10倍(0.0526bit)まで加速したが、漠然とした報酬単独の初速(0.1028bit)には届かなかった。学習後期(3500ep)のMIは平均では推測ゲーム単独(0.0224bit)を上回った(0.0252bit)が、系統間のばらつきが大きく、3系統中1系統は推測ゲーム単独を下回った。さらに、単調な「速い立ち上がり→高水準で安定」という理想形ではなく、1500ep付近に際立ったピーク(0.1032bit)を経て3500epにかけて再び低下するという、どちらの単独設計とも異なる第三の(山型の)ダイナミクスが見られた。これにより、2つの報酬の「良いとこ取り」は単純な線形結合では部分的にしか実現せず、報酬係数の調整だけでは容易に解決しない新たな不安定性を伴うことが分かった。</w:t>
      </w:r>
    </w:p>
    <w:p>
      <w:pPr>
        <w:spacing w:after="160" w:line="300"/>
      </w:pPr>
      <w:r>
        <w:t xml:space="preserve">反復学習(世代交代のボトルネック)が体系化促進という形では効果を示さなかったことを受け、「世代交代という操作そのものに因果効果があるか」を体系化促進効果とは切り離して検証した。既存の反復学習v2データ(n=15)から系統内で世代間の収束後MIのスピアマン相関を計算したところ、確立した世代1から直後の世代2への遷移ではrho=0.4964(p=0.0598)とやや強い正の相関が見られたが、ボトルネックを重ねるごとに弱まり、世代4→5ではrho=-0.1964とほぼ消失した。すなわち、ボトルネックで受け継がれる「どの信号が何を意味するか」という具体的な対応関係の中身は、世代を経るごとに複製の複製のように劣化する。一方、ボトルネック初期化を一度も経験していない新規の独立単発学習(n=15、MI=0.0208±0.0194bit)と、5世代のボトルネック連鎖を経た世代5(n=15、MI=0.0423±0.0300bit)を比較すると、後者が有意に高いMIを示した(マン・ホイットニーのU検定p=0.0465)。この2つを合わせると、世代交代というボトルネック操作は、体系化を単調に促進する効果こそ持たないが、名目的な操作ではなく実質的な因果効果を持つことが確認できる。考えられる機序は、送り手・受け手をボトルネックサンプルから教師あり初期化することが、ゼロ初期化が陥りやすい「信号行動を全く使わない」という自明な局所解を早期に回避させる足がかりとして働き、対応関係の具体的な中身が世代を経て変質しても、この足がかり効果自体はより頑健に残存する、というものである。</w:t>
      </w:r>
    </w:p>
    <w:p>
      <w:pPr>
        <w:spacing w:after="160" w:line="300"/>
      </w:pPr>
      <w:r>
        <w:t xml:space="preserve">信号内容ではなく協調自体に価値を置く発展形として、1体では到達不可能な協調限定ゲート(2体が同時に離れたスイッチマスに乗ったときだけ解禁される追加エリア)を環境に導入し、正誤に依存しない訪問回数ベースの好奇心報酬(未訪問の(状態,行動)ほど高い内発的報酬を与える)と組み合わせて検証した。提案設計(ゲート+好奇心)・対照A(ゲートのみ)・対照B(好奇心のみ、ゲートなし)の3条件をn=3・3500epおよび8000epで比較したところ、いずれの条件でも学習終盤にMIがほぼゼロ(8000ep時点で提案設計0.0041bit・対照A0.0027bit・対照B0.0024bit、有意差なし)まで希薄化するプーリング均衡に陥った。原因は、協調ゲートが学習終盤に80〜98%という高頻度で到達されてしまい、「協調しないと新奇性が存在しない」という希少性の前提が崩れていたことにある。一度学習された到達パターンは、相手の内部状態を知る必要のない、位置とタイミングだけの習慣的なルーティンとして安定して実行でき、信号送信のタイミングと到達成功のリフト比も1.0未満で、信号が協調の手段として使われた証拠は見られなかった。</w:t>
      </w:r>
    </w:p>
    <w:p>
      <w:pPr>
        <w:spacing w:after="160" w:line="300"/>
      </w:pPr>
      <w:r>
        <w:t xml:space="preserve">これにより、要件6でこれまで試みた間接的な報酬設計(漠然とした社会的報酬、ハイブリッド設計、集団拡大、世代交代のボトルネック、協調限定の新奇性ゲート)に共通する構造的な限界が明確になった。いずれの設計も「何らかの協調」を要求するに過ぎず、「相手の内部状態という他の手段では知りようのない情報」を伝えなければ解決できないタスクにはなっていなかった。協調自体は位置やタイミングの調整だけで達成できてしまうため、信号は内容を持つ必要がなく希薄化する。これまで唯一長期的に安定した創発を示した推測ゲーム(直接報酬)は、まさに相手の内部状態を推測しないと得点できないという、情報の必要性そのものをタスクに埋め込んでいた点で本質的に異なっていた。このため、要件6における間接報酬・自然な創発を狙う設計の探索はここで一区切りとし、情報の必要性を課さない設計から意味のある信号創発を引き出すことは、この環境ではこれ以上望めないと結論づける。</w:t>
      </w:r>
    </w:p>
    <w:p>
      <w:pPr>
        <w:spacing w:after="160" w:line="300"/>
      </w:pPr>
      <w:r>
        <w:t xml:space="preserve">要件7と同じ手順で、環境・報酬(推測ゲームの直接報酬)・状態表現・学習量(3500ep)を一切変えず、送り手・受け手の両方のアーキテクチャのみをNN(MLP、経験リプレイ+ターゲットネットワーク)に置き換える最小限の移行実験を行った(n=3予備検証で大差が出たためn=15へ拡大)。収束後のMIはタブラー版0.0224bitに対しNN版0.1076±0.1142bitと約4.8倍に達し、統計的に有意だった(片側t検定t=2.79、p=0.0144)。推測精度もタブラー版0.6976からNN版0.8844へ明確に上回った。一方で学習曲線の質は要件7と対照的だった。要件7ではNN化が非単調性(U字型)を解消する方向に働いたのに対し、要件6ではタブラー版で見られた非単調なダイナミクス(急激なピーク後の低下)がむしろ増幅し、系統間のばらつきも変動係数にして約5倍(タブラー版約0.2→NN版約1.0)に拡大した。これは、要件7のモニタが固定された方策から後付けで状態を読み取る比較的受動的な課題であるのに対し、要件6は送り手・受け手が互いに適応し合う共進化的な課題であるため、NNの高い表現力が噛み合った瞬間の相関を強める一方、その噛み合いを崩す方向にも同じ柔軟さで作用しやすいことを示唆する。平均値だけを見ればNN化による大幅な改善に見えるが、系統ごとのばらつきの大きさは、要件6の信号創発が推測ゲームという直接フィードバックへの依存が強い脆い現象であるという既存の結論をむしろ補強するものである。この既存の結論が、より作為性の低い自然な設定でも成り立つかを確かめるため、内部状態を離散クラスから連続値(逸脱量そのもの)に、推測ゲームの報酬を分類の正誤から連続値の予測誤差に、MIの推定を連続値向けのKraskov-Stögbauer-Grassberger法に、それぞれ置き換える複雑化実験を行った(NN移行済みの構成をそのまま使用、n=3)。結果は、3500ep時点の連続MI(0.103±0.088bit)が離散版(0.108±0.114bit)とほぼ同水準で、系統間のばらつきも同程度に大きく(変動係数0.85)、「情報の必要性が鍵」という要件6の結論が連続設定でも支持された。一方、受け手の推定誤差(平均絶対誤差)は0.398→0.252→0.131と3系統一貫して単調に改善しており、MIよりばらつきの少ない安定した進捗指標であることも分かった。MIの弱さ・ばらつきの大きさは離散版のn=15検証結果と整合する既知のパターンであり、また改善の方向を左右しない再現であることから、ここではn=15への拡大は行わずn=3の結果を結論とした。</w:t>
      </w:r>
    </w:p>
    <w:p>
      <w:pPr>
        <w:pStyle w:val="Heading3"/>
        <w:spacing w:after="100" w:before="220"/>
      </w:pPr>
      <w:r>
        <w:t xml:space="preserve">4.4.4 高階自己モニタリング層(要件7)</w:t>
      </w:r>
    </w:p>
    <w:p>
      <w:pPr>
        <w:spacing w:after="160" w:line="300"/>
      </w:pPr>
      <w:r>
        <w:t xml:space="preserve">小規模なシミュレーションプロトタイプでは、モニタ(行動選択パターンからセンサーの支配的な逸脱を推定する回帰モデル)がチャンスレート・多数派ベースラインを上回る精度を示した。しかし時系列で追うと、この相関は主に個体差(生涯・エピソード間のばらつき)を捉えているにすぎず、単一の生涯内で瞬間ごとにセンサー値の変化へ追従できているかは弱いことが分かった。また、経験量に応じてモニタの精度・相関が単調に向上するという「安定稼働の段階」の検出も、今回の方法では確認できなかった。</w:t>
      </w:r>
    </w:p>
    <w:p>
      <w:pPr>
        <w:spacing w:after="160" w:line="300"/>
      </w:pPr>
      <w:r>
        <w:t xml:space="preserve">マップを固定し学習系列の乱数だけを変えた3系統で追試したところ、この非単調性(経験量に対して相関が下がってから急に上がるU字型の推移)は3系統すべてで再現し、単一試行のノイズではないことが確認できた。単純な環境の複雑さ不足によって信号自体が乏しいという説明は支持されず、方策が素朴な初期段階・複雑化する過渡期・洗練された最終段階を経る中で、モニタが捉えやすい一貫した行動と捉えにくい行動が交互に現れている可能性が高い。さらに、学習が進むほど未経験マップへの相関はむしろ下がる傾向があり、方策が自分の環境に特化する(過学習する)につれて汎化可能な追従能力を犠牲にしている可能性も示唆された。これは次の要件4の記述にある「高階モニタリング層の安定稼働」という判定基準が、単純な閾値判定では機能しないかもしれないという未解決の問いを残す。</w:t>
      </w:r>
    </w:p>
    <w:p>
      <w:pPr>
        <w:spacing w:after="160" w:line="300"/>
      </w:pPr>
      <w:r>
        <w:t xml:space="preserve">この非単調性(U字型)の原因を、行動エントロピー(行動選択の多様性)・平均|Qギャップ|(確信度)・方策変化率(不安定さ)の3指標で切り分けたところ、行動エントロピーだけがU字型と明確な逆位相(山型)を示し、相関係数もr=-0.739と最も強かった。方策の行動レパートリーが最も多様化する学習中盤でモニタ精度が落ち込み、行動が少数のパターンに収束する初期・終盤で精度が回復するという機序が具体的に特定できた。</w:t>
      </w:r>
    </w:p>
    <w:p>
      <w:pPr>
        <w:spacing w:after="160" w:line="300"/>
      </w:pPr>
      <w:r>
        <w:t xml:space="preserve">さらに行動空間を5→9種類(斜め移動を追加)に拡張する、あるいは環境自体を立体グリッド化する実験では、U字型・エントロピーの山型がどちらも消失した。これにより、U字型は要件7に普遍的な性質ではなく、行動空間が狭いために学習後半に少数の行動パターンへ「再収束」する、行動空間固有の力学に由来する現象であることが分かった。</w:t>
      </w:r>
    </w:p>
    <w:p>
      <w:pPr>
        <w:spacing w:after="160" w:line="300"/>
      </w:pPr>
      <w:r>
        <w:t xml:space="preserve">また、未経験マップへの汎化(連続値としての追従)の弱さについては、モニタを複数マップのロールアウトで学習させることで、未経験マップへの相関が約2.4倍に改善する(3系統すべてで再現)ことを確認した一方、改善後もなお学習分布内の相関水準には遠く届かず、汎化の弱さは(a)学習データの多様性不足による部分的に改善可能な要因と、(b)モニタの特徴量設計自体に起因する残余の限界という二層構造であることが分かった。</w:t>
      </w:r>
    </w:p>
    <w:p>
      <w:pPr>
        <w:spacing w:after="160" w:line="300"/>
      </w:pPr>
      <w:r>
        <w:t xml:space="preserve">この(b)の特徴量設計を見直す追加検証として、行動履歴の長さを2手から段階的に伸ばしたところ、8手で未経験マップ相関が3倍(0.063→0.189、複数マップ学習単独の改善2.4倍を上回る単独最大の効果)に、32手まででも頭打ちは見えず単調に改善した(→0.281)。ただし、この履歴延長の効果は独立ではなく複数マップ学習に依存することが分かった。履歴を8手に伸ばしても単一マップ学習のままでは未経験マップ相関が不安定(0.088±0.085、系統によっては負の相関)なのに対し、複数マップ学習と組み合わせて初めて安定して高い値(0.189±0.009)になる。すなわち複数マップ学習は独立した改善ではなく、履歴延長という強力だが過学習を招きやすい情報源を安全に活かすための前提条件だった。</w:t>
      </w:r>
    </w:p>
    <w:p>
      <w:pPr>
        <w:spacing w:after="160" w:line="300"/>
      </w:pPr>
      <w:r>
        <w:t xml:space="preserve">一方、この履歴延長・強化された特徴量をもってしてもU字型の谷は解消されず(絶対値が底上げされるのみ)、U字型がモニタの入力設計ではなく方策側の行動多様性の学習ダイナミクスに内在する、モニタでは手の届かない構造的限界であることが改めて裏付けられた。総括すると、要件7の「センサー入力と安定的に相関する内部状態」という主張は、(a)失敗基準は明確にクリアしている、(b)一部の弱さ(U字型)は方策側に起因し要件7内では解消不能な構造的限界である、(c)一部の弱さ(汎化性能)は学習データの多様性と時間的文脈の長さという2条件を揃えることで実用的な水準まで改善可能である、という三層構造として結論づけられる。</w:t>
      </w:r>
    </w:p>
    <w:p>
      <w:pPr>
        <w:spacing w:after="160" w:line="300"/>
      </w:pPr>
      <w:r>
        <w:t xml:space="preserve">この三層構造のうち(b)がタブラーQ学習固有の制約に由来するのかを確かめるため、環境・報酬・状態表現・モニタ定義を一切変えず、アーキテクチャのみをニューラルネットワーク(多層パーセトロンによるQ値近似、経験リプレイ+ターゲットネットワークを用いたDQN形式)に置き換える最小限の移行実験をn=15で実施した。結果は明確だった。U字型はNN版では消失し、経験量に対してほぼ単調な増加(150ep時点0.555→3000ep時点0.671、log(ep)回帰でp=5.1e-5)を示した。複数マップ+履歴8手という同じレシピでの未経験マップへの汎化も、タブラー版の相関0.189からNN版0.387へ約2倍に改善し(タブラー版の固定値に対する片側t検定でp=7.2e-11)、極めて強い有意性を示した。学習量を8000epまで延長してもgrokking的な急激な汎化跳躍は見られなかったが、これは500ep時点で既に高い性能(0.42)に達しており、跳躍の前提となる長い停滞そのものが存在しなかったためで、「閃きが起こりえない」ことの証拠にはならない。n=3の時点で3系統とも同方向の効果が見られたためn=15まで拡大したが、効果は本セッション内の他の実験(反復学習v2の系統化促進効果など)とは対照的に弱まらず頑健なまま確認された。これは、U字型・汎化限界の一因がタブラーQ学習に特有の「離散状態への厳密な照合」という実装上の性質にあったことを強く示唆し、4.1で述べたタブラーQ学習の射程限界という懸念を具体的な形で裏付ける結果である。</w:t>
      </w:r>
    </w:p>
    <w:p>
      <w:pPr>
        <w:spacing w:after="160" w:line="300"/>
      </w:pPr>
      <w:r>
        <w:t xml:space="preserve">4.1で述べた閃き(インサイト、grokking現象)の検証も、このNN版を土台に行った。まずグリッドサイズを8×8→16×16に拡大し学習量も20000epまで延ばして再検証したが、held-out相関・未経験マップ相関ともに250ep時点で既に高水準に達し、長い停滞も急激な跳躍も見られなかった(n=3で明確な兆候なし)。原因は、この環境の状態表現(食料・シェルターへの相対方向、-1/0/1のみ)が物理的なグリッドサイズに依存しないスケール不変な設計になっており、盤面を広げてもエージェントが実際に処理する情報の複雑さ自体は変わらないためと考えられる。次に食料・シェルターへの相対方向シグナルを確率pで欠落させる部分観測化(p=0.3・0.7・0.95)を試したが、いずれも250ep時点で既に高水準の相関に達しておりgrokkingは誘発できなかった。マスクした方向情報は行動選択に使う経路であり、モニタが予測する対象(エネルギー・体温・損傷のどれが逸脱しているか)を直接左右する内受容感覚は常に完全観測のままだったため、モニタの予測課題自体の難易度がほとんど変わっていなかったことが原因と考えられる。最後にエネルギー・体温・損傷の観測値自体を確率p=0.3で欠落させ(恒常性維持の学習自体が破綻しないことをまず確認した上で)20000epまで再検証したが、これでもgrokkingの兆候はn=3で見られなかった。これにより、方策の行動空間・グリッドサイズ・外受容感覚の部分観測化・内受容感覚本体の部分観測化という4つの独立した難化軸のいずれでもgrokkingは観測されなかった。grokking現象はもともと固定データセットに対する教師あり学習(重み減衰などの正則化を伴う)で報告された現象であり、このプロジェクトが一貫して用いているオンラインの強化学習という学習形式そのものが、この現象の前提条件と根本的に噛み合っていない可能性がある。したがってこの結果は「閃きが原理的に起こりえない」ことの証明ではなく、試した4つの難化軸とオンライン強化学習という学習形式の組み合わせでは観測されなかったという、範囲の限定された否定的結果であり、学習形式自体を変える検証は要件7の範囲を超えるため、現時点ではここで区切ることとする。</w:t>
      </w:r>
    </w:p>
    <w:p>
      <w:pPr>
        <w:pStyle w:val="Heading2"/>
        <w:spacing w:after="150" w:before="300"/>
      </w:pPr>
      <w:r>
        <w:t xml:space="preserve">4.5 検証状況の総括(7要件)</w:t>
      </w:r>
    </w:p>
    <w:p>
      <w:pPr>
        <w:spacing w:after="160" w:line="300"/>
      </w:pPr>
      <w:r>
        <w:t xml:space="preserve">シミュレーションで検証可能な範囲について、7つの設計要件すべてに何らかの形で着手した時点での状況を、以下にまとめる。</w:t>
      </w:r>
    </w:p>
    <w:p>
      <w:pPr>
        <w:pStyle w:val="ListParagraph"/>
        <w:numPr>
          <w:ilvl w:val="0"/>
          <w:numId w:val="2"/>
        </w:numPr>
        <w:spacing w:after="100" w:line="300"/>
      </w:pPr>
      <w:r>
        <w:t xml:space="preserve">要件1・2(センサー恒常性系・予測統合): 検証済み。センサー逸脱に基づく賞罰による恒常性維持の学習が成立することを確認した。状態表現を絶対座標ではなく相対方向にする設計判断が学習成立の鍵だった。</w:t>
      </w:r>
    </w:p>
    <w:p>
      <w:pPr>
        <w:pStyle w:val="ListParagraph"/>
        <w:numPr>
          <w:ilvl w:val="0"/>
          <w:numId w:val="2"/>
        </w:numPr>
        <w:spacing w:after="100" w:line="300"/>
      </w:pPr>
      <w:r>
        <w:t xml:space="preserve">要件3(本能レベルの初期バイアス): 検証済み。本能バイアスは学習の最終到達点を変えずに立ち上がりを早める「修正可能な傾き」として機能することを、複数シード・長期学習で確認した。</w:t>
      </w:r>
    </w:p>
    <w:p>
      <w:pPr>
        <w:pStyle w:val="ListParagraph"/>
        <w:numPr>
          <w:ilvl w:val="0"/>
          <w:numId w:val="2"/>
        </w:numPr>
        <w:spacing w:after="100" w:line="300"/>
      </w:pPr>
      <w:r>
        <w:t xml:space="preserve">要件4前半(自己保存本能): 検証済み。損傷センサーが閾値に達すると不可逆にエピソードが終了する条件を加えても学習は問題なく成立し、恒常性維持の性能もむしろ改善した。当初計画書7.2で懸念していた「パニック的行動」は、この小規模な計算実験の範囲では支持されなかった。</w:t>
      </w:r>
    </w:p>
    <w:p>
      <w:pPr>
        <w:pStyle w:val="ListParagraph"/>
        <w:numPr>
          <w:ilvl w:val="0"/>
          <w:numId w:val="2"/>
        </w:numPr>
        <w:spacing w:after="100" w:line="300"/>
      </w:pPr>
      <w:r>
        <w:t xml:space="preserve">要件4後半(レガシー本能): 検証済み。教示行動への内発的報酬が自己保存を犠牲にしてでも学習されること、複数世代・複数系統にわたる引き継ぎの頑健性、稀に生じる不完全収束とその解消方法まで確認した。ただし最小限のNN移行実験では、複数世代連鎖の頑健性はさらに強まった一方、単一世代の用量反応はタブラー版から完全に逆転した(n=15、p=0.0001)。4段階の診断(破滅的干渉→教示タイミング→転写回数→エルダー自身の実力低下)により、真の原因は教示への内発的報酬がエルダー自身の行動選択の機会費用となり資源探索の経験が薄まって恒常性技量そのものが劣化する(逸脱0.207→0.413、p=0.028)という行動レベルの機序であり、NNが全ての価値を単一の重み集合で表現する共有表現の性質に起因することが分かった。</w:t>
      </w:r>
    </w:p>
    <w:p>
      <w:pPr>
        <w:pStyle w:val="ListParagraph"/>
        <w:numPr>
          <w:ilvl w:val="0"/>
          <w:numId w:val="2"/>
        </w:numPr>
        <w:spacing w:after="100" w:line="300"/>
      </w:pPr>
      <w:r>
        <w:t xml:space="preserve">要件5(高統合アーキテクチャ、IITのΦ): 小規模トイモデルでの原理実証(配線=因果構造の違いだけでΦが劇的に変わること)に加え、現実的な規模でのΦ計算という壁が想定以上に深刻であること(密結合系では6ノード前後が限界)、階層的近似による回避が具体的な機序をもって失敗すること、代理指標としての代数的連結度が規模・構造によらず「統合されているか、分断されているか」の二値判定には頑健であることまで確認した。代数的連結度も、比較検証したクラスター単位シナジー・グローバルワークスペース理論由来の到達範囲指標も、結合強度に対するΦ自身の非単調な(山型の)挙動は再現できなかった。一方、複数摂動部位・圧縮率に基づき本実装したPCI(擾乱複雑性指標)は、この山型を小規模ではスピアマン相関0.895・ピーク位置もほぼ一致する精度で再現できた。ただしPCIは規模・構造への頑健性を欠き、ノード数を10〜500まで伸ばすと統合グラフと分断グラフの判定がほぼ不可能になり、計算コストも代数的連結度の2桁以上遅い。結局、規模に頑健な二値判定(代数的連結度)と小規模での連続的な山型追跡(PCI)は別々の指標が担い、両方を同時に満たす代理指標は現時点で見つかっていない。NNアーキテクチャへの移行後、要件4・6・7で実際に学習させたネットワークの重み構造(代数的連結度)・活動パターン(PCI)から統合度を測る探索も行ったが、いずれも学習量や成績差との意味のある対応は検出できず、手がかりなしという結論で区切った。</w:t>
      </w:r>
    </w:p>
    <w:p>
      <w:pPr>
        <w:pStyle w:val="ListParagraph"/>
        <w:numPr>
          <w:ilvl w:val="0"/>
          <w:numId w:val="2"/>
        </w:numPr>
        <w:spacing w:after="100" w:line="300"/>
      </w:pPr>
      <w:r>
        <w:t xml:space="preserve">要件6(複数個体による共同体形成): 信号と内部状態の対応関係は、正誤判定を伴う厳密な直接報酬でのみ長期的に安定して創発し、同じ強い協調圧力・より長い学習量(2.3倍)でも直接報酬なしでは創発しないことを確認した。ただし、正誤を問わない漠然とした社会的報酬(至近要因・究極要因の区別、2.13)だけでも学習初期には最速でlegibleな信号を生み出せる一方、シグナリングゲーム理論の「プーリング均衡」に収束し情報量が希薄化していくこと、両報酬を組み合わせたハイブリッド設計は暴走の抑制には成功したが「良いとこ取り」は部分的にしか実現しないことも分かった。既存の慣習に触れた新参者が有利になる効果はn=15まで拡大して統計的に有意であること、規範性(間違った使い方を共同体が正す力)は信号を解釈・受信する側には確認できたが送信・表出する側にはまだ弱いことも分かった。総じて、対応関係の創発は「協調タスクの遂行から内発的に創発した」とは言えず、報酬設計の性質に強く依存することが明らかになり、これが本物の生活形式と言えるかという哲学的な問いにも答えていない。世代交代のボトルネック操作自体については、体系化を単調に促進する効果はないが、ゼロ初期化が陥りやすい局所解の回避という形で単発学習より有意にMIを底上げする、名目的ではない実質的な因果効果を持つことも分かった。協調限定の新奇性ゲート×好奇心報酬という、情報内容を問わず協調自体に価値を置く設計も試したが、協調ゲートが習慣的なルーティンだけで高頻度に解決されてしまい信号は希薄化した。これにより、要件6で試みた間接報酬設計に共通する限界(相手の内部状態という情報そのものを伝える必要をタスクに課さない限り、信号は内容を持たない)が明確になった。環境・報酬を据え置きアーキテクチャのみをNNに置き換える最小限の移行実験(n=15)では、収束後のMIがタブラー版の約4.8倍(0.0224→0.1076bit、p=0.0144)に有意に改善した一方、系統間のばらつきも変動係数で約5倍に拡大し、要件7とは対照的にNN化が非単調な学習ダイナミクスをむしろ増幅した。これは信号創発が推測ゲームという直接フィードバックへの依存が強い脆い現象であることを裏付ける。内部状態を連続値化し推測ゲームも連続値の予測誤差報酬に置き換えた複雑化実験(n=3)でも、MI(0.103±0.088bit)・ばらつき(変動係数0.85)とも離散版と同水準で「情報の必要性が鍵」という結論が支持され、推定誤差はより安定した単調改善を示した。</w:t>
      </w:r>
    </w:p>
    <w:p>
      <w:pPr>
        <w:pStyle w:val="ListParagraph"/>
        <w:numPr>
          <w:ilvl w:val="0"/>
          <w:numId w:val="2"/>
        </w:numPr>
        <w:spacing w:after="100" w:line="300"/>
      </w:pPr>
      <w:r>
        <w:t xml:space="preserve">要件7(高階自己モニタリング層): 7要件のうち最も深く検証した。失敗基準は明確にクリアしている一方、経験量に対する精度のU字型変化は方策側の行動多様性に起因する解消不能な構造的限界であること、未経験環境への汎化の弱さは学習データの多様性と行動履歴の長さという2条件を揃えることで実用的な水準まで改善可能であることを、それぞれ切り分けて特定した。さらに環境・報酬を据え置きアーキテクチャのみをニューラルネットワークに置き換える最小限の移行実験(n=15)により、U字型は消失(ほぼ単調な増加、p=5.1e-5)し、未経験マップへの汎化もタブラー版の約2倍(p=7.2e-11)に改善することを確認した。これはU字型・汎化限界の一因がタブラー特有の離散状態照合という実装上の制約にあったことを示す一方、grokking的な急激な汎化跳躍は観測されなかった。</w:t>
      </w:r>
    </w:p>
    <w:p>
      <w:pPr>
        <w:spacing w:after="160" w:line="300"/>
      </w:pPr>
      <w:r>
        <w:t xml:space="preserve">全体として、7要件のうち実機・複数体運用を前提とする要件5・6も含め、何らかの形での初期実証には到達した。ただし要件5・6は原理レベルの最小限のデモンストレーションに留まり、要件1〜4・7のような実用的な水準での検証には至っていない。この差は、要件5・6が本質的に大きな計算資源・実機・複数個体の相互作用を要する要件であることに起因しており、シミュレーションのみで完結する個人的な探究という現在の進め方の限界でもある。</w:t>
      </w:r>
    </w:p>
    <w:p>
      <w:pPr>
        <w:pStyle w:val="Heading2"/>
        <w:spacing w:after="150" w:before="300"/>
      </w:pPr>
      <w:r>
        <w:t xml:space="preserve">4.6 NN移行が示した、共有表現というアーキテクチャの二面性</w:t>
      </w:r>
    </w:p>
    <w:p>
      <w:pPr>
        <w:spacing w:after="160" w:line="300"/>
      </w:pPr>
      <w:r>
        <w:t xml:space="preserve">要件4後半・6・7のNN移行実験を並べると、単なる個別の結果の寄せ集めではなく、一つの共通した原因から三種類の異なる結果が生まれていることが見えてくる。原因は、タブラーQ学習が(状態,行動)ごとに完全に独立した値を持つのに対し、NNは全ての価値・行動を単一の重み集合(共有表現)で表現するという、アーキテクチャの根本的な違いである。この違いが、対象となる課題の構造によって、三つの異なる形で現れた。</w:t>
      </w:r>
    </w:p>
    <w:p>
      <w:pPr>
        <w:spacing w:after="160" w:line="300"/>
      </w:pPr>
      <w:r>
        <w:t xml:space="preserve">一つ目は要件7で、NNは既に収束した方策から後付けで内部状態を読み取るという、比較的受動的な課題だった。ここでは共有表現の恩恵が一方的に働いた。似た状態同士を滑らかに補間できるため、タブラー特有の「離散状態への厳密な照合」に起因するU字型の非単調性が解消され、未経験マップへの汎化も約2倍に改善した(4.4.4参照)。共有表現が課題の質を損なう要因は見当たらなかった。</w:t>
      </w:r>
    </w:p>
    <w:p>
      <w:pPr>
        <w:spacing w:after="160" w:line="300"/>
      </w:pPr>
      <w:r>
        <w:t xml:space="preserve">二つ目は要件6で、送り手・受け手が互いの出力に適応し合う、共進化的な課題だった。ここでは共有表現の効果が両義的だった。収束後のMIはタブラー版の約4.8倍に改善した一方、系統間のばらつきも約5倍に拡大し、要件7とは対照的に非単調な学習ダイナミクスがむしろ増幅された(4.4.3参照)。NNの高い表現力は、送り手・受け手の出力が偶然噛み合った瞬間には強い相関を素早く作れるが、その噛み合いを崩す方向にも同じ柔軟さで働きやすいためと考えられる。</w:t>
      </w:r>
    </w:p>
    <w:p>
      <w:pPr>
        <w:spacing w:after="160" w:line="300"/>
      </w:pPr>
      <w:r>
        <w:t xml:space="preserve">三つ目は要件4後半で、移動と教示という異なる行動が、同一のエルダー個体・同一のネットワークによって担われる課題だった。ここでは共有表現がむしろ害をなした。教示への内発的報酬(legacy_bonus)を強めるほど、エルダーが教示に行動選択の機会を割き、資源探索という実効的な経験が薄まり、ネットワーク全体の質が一様に劣化する(4.4.1参照)。タブラーであれば、教示に時間を割いても他の状態の学習精度は独立に保たれ、影響を受けない。共有表現ゆえに、ある行動への配分の偏りが、無関係に見える他の行動の質にまで波及してしまう。</w:t>
      </w:r>
    </w:p>
    <w:p>
      <w:pPr>
        <w:spacing w:after="160" w:line="300"/>
      </w:pPr>
      <w:r>
        <w:t xml:space="preserve">この三例を並べると、NN移行の帰結は「課題が、単一の共有された表現に何を要求するか」によって予測できる可能性が見えてくる。課題が単に既存の情報を滑らかに読み取る・補間するだけであれば(要件7)、共有表現は一方的に有利に働く。課題が複数の学習者の出力を相互に噛み合わせる必要があれば(要件6)、共有表現は噛み合いの強さと不安定さを同時に増幅する。そして課題が、一つの主体の中で複数の異なる行動・目的が学習容量や経験を奪い合う構造を持てば(要件4後半)、共有表現はタブラーには存在しない新たな失敗様式(継続学習研究で「破滅的忘却・破滅的干渉」として知られる現象と同型の機序)を持ち込みうる。今後さらに別の要件をNN化する際にも、この三分類(受動的読み取り/共進化的相互適応/単一主体内での行動間の資源競合)のどれに近いかを事前に見積もることで、結果の方向性をある程度予測できる可能性がある。</w:t>
      </w:r>
    </w:p>
    <w:p>
      <w:pPr>
        <w:pStyle w:val="Heading2"/>
        <w:spacing w:after="150" w:before="300"/>
      </w:pPr>
      <w:r>
        <w:t xml:space="preserve">4.7 総括</w:t>
      </w:r>
    </w:p>
    <w:p>
      <w:pPr>
        <w:spacing w:after="160" w:line="300"/>
      </w:pPr>
      <w:r>
        <w:t xml:space="preserve">これまでに挙げられた個別の反論の大半には、筋の通った対応が用意されている。4.3で指摘した目標と成功基準のズレは、1章の成功基準の改訂によって解消済みである。ただし対応の多くは、最終的に「由来や設計意図は関係なく、今ある構造だけを見る」という一つの哲学的立場に依拠しており、この立場自体は証明されたものではなく選び取られたものである。この前提が崩れれば、埋めたはずの穴の大半が同時に開き直す。これが計画全体の中で最も脆い一点である。</w:t>
      </w:r>
    </w:p>
    <w:p>
      <w:pPr>
        <w:pStyle w:val="Heading1"/>
        <w:spacing w:after="200" w:before="400"/>
      </w:pPr>
      <w:r>
        <w:t xml:space="preserve">5. 開発ロードマップ</w:t>
      </w:r>
    </w:p>
    <w:p>
      <w:pPr>
        <w:pStyle w:val="Heading2"/>
        <w:spacing w:after="150" w:before="300"/>
      </w:pPr>
      <w:r>
        <w:t xml:space="preserve">フェーズ1: 基盤研究(センサー・恒常性システム)</w:t>
      </w:r>
    </w:p>
    <w:p>
      <w:pPr>
        <w:pStyle w:val="ListParagraph"/>
        <w:numPr>
          <w:ilvl w:val="0"/>
          <w:numId w:val="2"/>
        </w:numPr>
        <w:spacing w:after="100" w:line="300"/>
      </w:pPr>
      <w:r>
        <w:t xml:space="preserve">機体各所へのセンサー配置設計(温度・損傷・エネルギー残量・稼働状態)</w:t>
      </w:r>
    </w:p>
    <w:p>
      <w:pPr>
        <w:pStyle w:val="ListParagraph"/>
        <w:numPr>
          <w:ilvl w:val="0"/>
          <w:numId w:val="2"/>
        </w:numPr>
        <w:spacing w:after="100" w:line="300"/>
      </w:pPr>
      <w:r>
        <w:t xml:space="preserve">最適状態からの逸脱を算出する恒常性モデルの構築</w:t>
      </w:r>
    </w:p>
    <w:p>
      <w:pPr>
        <w:pStyle w:val="ListParagraph"/>
        <w:numPr>
          <w:ilvl w:val="0"/>
          <w:numId w:val="2"/>
        </w:numPr>
        <w:spacing w:after="100" w:line="300"/>
      </w:pPr>
      <w:r>
        <w:t xml:space="preserve">逸脱値を内部の賞罰信号に変換するアルゴリズムの設計</w:t>
      </w:r>
    </w:p>
    <w:p>
      <w:pPr>
        <w:pStyle w:val="ListParagraph"/>
        <w:numPr>
          <w:ilvl w:val="0"/>
          <w:numId w:val="2"/>
        </w:numPr>
        <w:spacing w:after="100" w:line="300"/>
      </w:pPr>
      <w:r>
        <w:t xml:space="preserve">シミュレーションでの先行検証: センサー逸脱に基づく賞罰による恒常性維持の学習が、小規模なQ学習エージェントで既に成立することを確認済み(4.5参照)。物理実装前の設計方針の妥当性を裏付ける初期エビデンスとして位置づけられる。</w:t>
      </w:r>
    </w:p>
    <w:p>
      <w:pPr>
        <w:pStyle w:val="ListParagraph"/>
        <w:numPr>
          <w:ilvl w:val="0"/>
          <w:numId w:val="2"/>
        </w:numPr>
        <w:spacing w:after="100" w:line="300"/>
      </w:pPr>
      <w:r>
        <w:t xml:space="preserve">2026-08-04、上記の恒常性モデル・Q学習を実機(Raspberry Pi)向けに移植したプロトタイプ(homeostasis_hardware_prototype.py)の設計に着手した。ハードウェア抽象層(HardwareInterface)を切り出し、実部品到着前は模擬実装(MockHardwareInterface)でループ全体の動作を確認する構成とした。設計を進める過程で、当初想定していなかった欠陥が複数見つかり、その都度修正した。(a)調達予定の機体が自律充電できないことが判明し、エネルギー確保を人間の外部介入のみに依存する設計は、損傷の補修とは異なり生存の基盤自体を毎回外部に委ねてしまうため不十分と判断し、カメラで撮影したドックのマーカー(ArUco等)を目印に接近・充電する「dock」行動を追加した。ただし最後の位置合わせは、離散的な行動と学習初期の試行錯誤による事故リスクを避けるため、固定的な視覚サーボ機構として実装し、Q学習の対象は「いつ充電に行くか」に限定している。(b)位置に基づく目的地を持たない状態設計では「なるべく動かない」が最適方策になってしまう問題があり、カメラで捉えた景色の新規性に対する好奇心報酬(訪問回数ベース、予測誤差ベースの手法が持つ「無意味なノイズに引きつけられる」弱点を避ける設計)を導入した。(c)損傷の発生確率を、行動と無関係な一律値から、移動する行動でリスクが高いという物理的に自然な因果関係に改めた。(d)計画書7.2で必須としていた手動緊急停止機構を、ソフトウェア側(is_emergency_stopped()によるモーター制御の停止)として実装し、模擬環境での動作確認を行った。ただし実際の安全弁はモーター電源を物理的に遮断するハードウェアリレーであるべきで、この配線は未着手のまま最優先の課題として残っている。いずれの決定も実機部品の到着前の設計段階であり、物理的な検証はまだ行っていない。</w:t>
      </w:r>
    </w:p>
    <w:p>
      <w:pPr>
        <w:pStyle w:val="Heading2"/>
        <w:spacing w:after="150" w:before="300"/>
      </w:pPr>
      <w:r>
        <w:t xml:space="preserve">フェーズ2: 統合アーキテクチャの構築</w:t>
      </w:r>
    </w:p>
    <w:p>
      <w:pPr>
        <w:pStyle w:val="ListParagraph"/>
        <w:numPr>
          <w:ilvl w:val="0"/>
          <w:numId w:val="2"/>
        </w:numPr>
        <w:spacing w:after="100" w:line="300"/>
      </w:pPr>
      <w:r>
        <w:t xml:space="preserve">ニューロモーフィックハードウェア(既存の研究チップ含む)の選定・検証</w:t>
      </w:r>
    </w:p>
    <w:p>
      <w:pPr>
        <w:pStyle w:val="ListParagraph"/>
        <w:numPr>
          <w:ilvl w:val="0"/>
          <w:numId w:val="2"/>
        </w:numPr>
        <w:spacing w:after="100" w:line="300"/>
      </w:pPr>
      <w:r>
        <w:t xml:space="preserve">賞罰信号を行動選択・内部状態更新へ直接統合する制御ループの実装</w:t>
      </w:r>
    </w:p>
    <w:p>
      <w:pPr>
        <w:pStyle w:val="ListParagraph"/>
        <w:numPr>
          <w:ilvl w:val="0"/>
          <w:numId w:val="2"/>
        </w:numPr>
        <w:spacing w:after="100" w:line="300"/>
      </w:pPr>
      <w:r>
        <w:t xml:space="preserve">本能レベルの初期パラメータ・優先バイアスの設計</w:t>
      </w:r>
    </w:p>
    <w:p>
      <w:pPr>
        <w:pStyle w:val="ListParagraph"/>
        <w:numPr>
          <w:ilvl w:val="0"/>
          <w:numId w:val="2"/>
        </w:numPr>
        <w:spacing w:after="100" w:line="300"/>
      </w:pPr>
      <w:r>
        <w:t xml:space="preserve">安全策: 物理的なアクチュエータを実装する前にシミュレーション環境のみで行動を十分に検証する。物理実装後も手動の緊急停止機構を常設する</w:t>
      </w:r>
    </w:p>
    <w:p>
      <w:pPr>
        <w:pStyle w:val="ListParagraph"/>
        <w:numPr>
          <w:ilvl w:val="0"/>
          <w:numId w:val="2"/>
        </w:numPr>
        <w:spacing w:after="100" w:line="300"/>
      </w:pPr>
      <w:r>
        <w:t xml:space="preserve">シミュレーションでの先行検証: 本能バイアスが学習の最終到達点を変えずに立ち上がりを早める「修正可能な傾き」として機能することを、タブラーQ学習で確認済み(4.5参照)。賞罰信号を行動選択・内部状態更新へ統合する制御ループ自体の妥当性についても、テーブル形式・ニューラルネットワーク双方のアーキテクチャで実装・比較検証済みである(4.4.1・4.4.3・4.4.4参照)一方、ニューロモーフィックハードウェアそのものの選定・検証はまだ未着手である。</w:t>
      </w:r>
    </w:p>
    <w:p>
      <w:pPr>
        <w:pStyle w:val="Heading2"/>
        <w:spacing w:after="150" w:before="300"/>
      </w:pPr>
      <w:r>
        <w:t xml:space="preserve">フェーズ3: 外部監督組織の設置(前提条件、詳細は7.6・7.7参照)</w:t>
      </w:r>
    </w:p>
    <w:p>
      <w:pPr>
        <w:pStyle w:val="ListParagraph"/>
        <w:numPr>
          <w:ilvl w:val="0"/>
          <w:numId w:val="2"/>
        </w:numPr>
        <w:spacing w:after="100" w:line="300"/>
      </w:pPr>
      <w:r>
        <w:t xml:space="preserve">外部監督組織の設置</w:t>
      </w:r>
    </w:p>
    <w:p>
      <w:pPr>
        <w:pStyle w:val="ListParagraph"/>
        <w:numPr>
          <w:ilvl w:val="0"/>
          <w:numId w:val="2"/>
        </w:numPr>
        <w:spacing w:after="100" w:line="300"/>
      </w:pPr>
      <w:r>
        <w:t xml:space="preserve">罰の強度・閾値設定、および要件4の本人による改訂プロセスの安全性についての審査体制の策定</w:t>
      </w:r>
    </w:p>
    <w:p>
      <w:pPr>
        <w:pStyle w:val="ListParagraph"/>
        <w:numPr>
          <w:ilvl w:val="0"/>
          <w:numId w:val="2"/>
        </w:numPr>
        <w:spacing w:after="100" w:line="300"/>
      </w:pPr>
      <w:r>
        <w:t xml:space="preserve">この組織の承認を得るまで、要件4は暫定条件(低強度)に留め、本格的な罰・不可逆な削除の実装(フェーズ4)には進まない</w:t>
      </w:r>
    </w:p>
    <w:p>
      <w:pPr>
        <w:pStyle w:val="ListParagraph"/>
        <w:numPr>
          <w:ilvl w:val="0"/>
          <w:numId w:val="2"/>
        </w:numPr>
        <w:spacing w:after="100" w:line="300"/>
      </w:pPr>
      <w:r>
        <w:t xml:space="preserve">監督の形式は規模に応じて調整する。個人・大学規模では、指導者など実在する独立した個人による定期的なレビューを最低限の条件とする。ここでの独立性とは、設計者に経済的に依存せず、進捗の報告義務や上下関係を持たない人物であることを指し、単に設計者が選んだ相手というだけでは満たされない。企業・国家規模の資金・組織に移行する際は、IRB・IACUC相当の正式な体制へ引き上げる。この引き上げの要否は資金規模ではなく、要件4の罰・削除が暫定条件を超えて本格的な強度に達するかどうかで判定する</w:t>
      </w:r>
    </w:p>
    <w:p>
      <w:pPr>
        <w:pStyle w:val="ListParagraph"/>
        <w:numPr>
          <w:ilvl w:val="0"/>
          <w:numId w:val="2"/>
        </w:numPr>
        <w:spacing w:after="100" w:line="300"/>
      </w:pPr>
      <w:r>
        <w:t xml:space="preserve">この監督者(組織)には、監視データ、本計画書、実機への点検を含む、すべての関連情報・設備へのアクセス権限を与える。アクセスが制限された形式的なレビューでは、独立性の要件を満たしていても実質的な監督にはならない</w:t>
      </w:r>
    </w:p>
    <w:p>
      <w:pPr>
        <w:pStyle w:val="ListParagraph"/>
        <w:numPr>
          <w:ilvl w:val="0"/>
          <w:numId w:val="2"/>
        </w:numPr>
        <w:spacing w:after="100" w:line="300"/>
      </w:pPr>
      <w:r>
        <w:t xml:space="preserve">監督者(組織)には、独立性に加えて、ロボット工学・AI安全性・生命倫理のいずれかについて相応の知見を持つことも要件とする。独立しているだけで専門的な知見を欠く監督者では、罰・削除の仕組みに潜む問題を実質的に見抜けない</w:t>
      </w:r>
    </w:p>
    <w:p>
      <w:pPr>
        <w:pStyle w:val="ListParagraph"/>
        <w:numPr>
          <w:ilvl w:val="0"/>
          <w:numId w:val="2"/>
        </w:numPr>
        <w:spacing w:after="100" w:line="300"/>
      </w:pPr>
      <w:r>
        <w:t xml:space="preserve">この組織の審査範囲は、要件4の罰・削除条件に加え、フェーズ6以降に生じうる複数系統の処分判断(7.8参照)にも及ぶことを、あらかじめ明記しておく</w:t>
      </w:r>
    </w:p>
    <w:p>
      <w:pPr>
        <w:pStyle w:val="ListParagraph"/>
        <w:numPr>
          <w:ilvl w:val="0"/>
          <w:numId w:val="2"/>
        </w:numPr>
        <w:spacing w:after="100" w:line="300"/>
      </w:pPr>
      <w:r>
        <w:t xml:space="preserve">要件4の本格実装には、設計者の継続性に関する仕組みを前提条件として組み込む。設計者と監督者の双方が月次など定期的に稼働継続の意思を確認する「デッドマンスイッチ」を設け、確認が一定期間得られない場合は、個体を削除・復元するのではなく自動的に安全な一時停止状態へ移行させる。設計者が継続できなくなった場合、監督者が後任の確保、または恒久的な一時停止への移行を担う</w:t>
      </w:r>
    </w:p>
    <w:p>
      <w:pPr>
        <w:pStyle w:val="ListParagraph"/>
        <w:numPr>
          <w:ilvl w:val="0"/>
          <w:numId w:val="2"/>
        </w:numPr>
        <w:spacing w:after="100" w:line="300"/>
      </w:pPr>
      <w:r>
        <w:t xml:space="preserve">要件7の安定稼働後に個体へ与えられる自己改訂権は、要件4の罰・削除条件に限定されるものであり、デッドマンスイッチや外部監視の仕組み自体には及ばない。これらは個体自身が認識・変更できない、設計者・監督者側の管理対象として明確に区別する</w:t>
      </w:r>
    </w:p>
    <w:p>
      <w:pPr>
        <w:pStyle w:val="Heading2"/>
        <w:spacing w:after="150" w:before="300"/>
      </w:pPr>
      <w:r>
        <w:t xml:space="preserve">フェーズ4: 継続学習と実存的リスクの実装</w:t>
      </w:r>
    </w:p>
    <w:p>
      <w:pPr>
        <w:pStyle w:val="ListParagraph"/>
        <w:numPr>
          <w:ilvl w:val="0"/>
          <w:numId w:val="2"/>
        </w:numPr>
        <w:spacing w:after="100" w:line="300"/>
      </w:pPr>
      <w:r>
        <w:t xml:space="preserve">破局的忘却を抑えつつ稼働中に学習し続ける継続学習機構の実装</w:t>
      </w:r>
    </w:p>
    <w:p>
      <w:pPr>
        <w:pStyle w:val="ListParagraph"/>
        <w:numPr>
          <w:ilvl w:val="0"/>
          <w:numId w:val="2"/>
        </w:numPr>
        <w:spacing w:after="100" w:line="300"/>
      </w:pPr>
      <w:r>
        <w:t xml:space="preserve">罰の閾値超過時にバックアップなしでデータを完全削除する機構(自己保存本能)の実装。初期条件は暫定的に人間が設定し、高階モニタリング層が安定稼働する段階に達した個体には、自らその条件を改訂できる権利を実装する(要: 改訂プロセスの安全設計)</w:t>
      </w:r>
    </w:p>
    <w:p>
      <w:pPr>
        <w:pStyle w:val="ListParagraph"/>
        <w:numPr>
          <w:ilvl w:val="0"/>
          <w:numId w:val="2"/>
        </w:numPr>
        <w:spacing w:after="100" w:line="300"/>
      </w:pPr>
      <w:r>
        <w:t xml:space="preserve">レガシー本能の実装: 個体の学習内容・内部状態を次世代個体へ引き継ぐことに対する報酬信号を、自己保存本能(削除・改訂の仕組み)とは独立した回路として設計・実装する</w:t>
      </w:r>
    </w:p>
    <w:p>
      <w:pPr>
        <w:pStyle w:val="ListParagraph"/>
        <w:numPr>
          <w:ilvl w:val="0"/>
          <w:numId w:val="2"/>
        </w:numPr>
        <w:spacing w:after="100" w:line="300"/>
      </w:pPr>
      <w:r>
        <w:t xml:space="preserve">シミュレーションでの先行検証: 罰の閾値超過時の強制終了・レガシー本能とも、タブラー・ニューラルネットワーク双方のアーキテクチャで検証済み(4.4.1参照)。特にニューラルネットワーク版では、教示への内発的報酬がエルダー自身の技量を意図せず損なうという、報酬設計の落とし穴も実際に発見・診断されており(7.2参照)、物理実装時の報酬設計における具体的な留意点として活用できる。</w:t>
      </w:r>
    </w:p>
    <w:p>
      <w:pPr>
        <w:pStyle w:val="Heading2"/>
        <w:spacing w:after="150" w:before="300"/>
      </w:pPr>
      <w:r>
        <w:t xml:space="preserve">フェーズ5: 高階自己モニタリングの実装</w:t>
      </w:r>
    </w:p>
    <w:p>
      <w:pPr>
        <w:pStyle w:val="ListParagraph"/>
        <w:numPr>
          <w:ilvl w:val="0"/>
          <w:numId w:val="2"/>
        </w:numPr>
        <w:spacing w:after="100" w:line="300"/>
      </w:pPr>
      <w:r>
        <w:t xml:space="preserve">内部状態を監視・表象する高階層の設計</w:t>
      </w:r>
    </w:p>
    <w:p>
      <w:pPr>
        <w:pStyle w:val="ListParagraph"/>
        <w:numPr>
          <w:ilvl w:val="0"/>
          <w:numId w:val="2"/>
        </w:numPr>
        <w:spacing w:after="100" w:line="300"/>
      </w:pPr>
      <w:r>
        <w:t xml:space="preserve">自己状態についての「確信」に相当する機能的出力の設計</w:t>
      </w:r>
    </w:p>
    <w:p>
      <w:pPr>
        <w:pStyle w:val="ListParagraph"/>
        <w:numPr>
          <w:ilvl w:val="0"/>
          <w:numId w:val="2"/>
        </w:numPr>
        <w:spacing w:after="100" w:line="300"/>
      </w:pPr>
      <w:r>
        <w:t xml:space="preserve">「安定稼働」の基準策定: 心拍知覚課題(ハートビート・カウンティング・タスク)など、人間の内受容感覚精度に関する先行研究を参照し、判定に用いる相関係数の目安を設定する(人間自身も完璧な相関を持たないことを踏まえた現実的な基準とする)</w:t>
      </w:r>
    </w:p>
    <w:p>
      <w:pPr>
        <w:pStyle w:val="ListParagraph"/>
        <w:numPr>
          <w:ilvl w:val="0"/>
          <w:numId w:val="2"/>
        </w:numPr>
        <w:spacing w:after="100" w:line="300"/>
      </w:pPr>
      <w:r>
        <w:t xml:space="preserve">シミュレーションでの先行検証: 高階モニタリング層の基本設計(行動パターンからの内部状態推定)は、タブラー・ニューラルネットワーク双方で検証済みで、失敗基準は明確にクリアしている(4.4.4参照)。「安定稼働」の基準策定にあたっては、経験量に対する精度が単調に向上するとは限らない(U字型の非単調性)という知見を踏まえる必要がある。</w:t>
      </w:r>
    </w:p>
    <w:p>
      <w:pPr>
        <w:pStyle w:val="Heading2"/>
        <w:spacing w:after="150" w:before="300"/>
      </w:pPr>
      <w:r>
        <w:t xml:space="preserve">フェーズ6: 複数個体による共同体形成</w:t>
      </w:r>
    </w:p>
    <w:p>
      <w:pPr>
        <w:pStyle w:val="ListParagraph"/>
        <w:numPr>
          <w:ilvl w:val="0"/>
          <w:numId w:val="2"/>
        </w:numPr>
        <w:spacing w:after="100" w:line="300"/>
      </w:pPr>
      <w:r>
        <w:t xml:space="preserve">同一設計の複数個体を並行稼働させる環境の構築</w:t>
      </w:r>
    </w:p>
    <w:p>
      <w:pPr>
        <w:pStyle w:val="ListParagraph"/>
        <w:numPr>
          <w:ilvl w:val="0"/>
          <w:numId w:val="2"/>
        </w:numPr>
        <w:spacing w:after="100" w:line="300"/>
      </w:pPr>
      <w:r>
        <w:t xml:space="preserve">個体間の情報伝達・相互の状態帰属を可能にするインターフェースの設計</w:t>
      </w:r>
    </w:p>
    <w:p>
      <w:pPr>
        <w:pStyle w:val="ListParagraph"/>
        <w:numPr>
          <w:ilvl w:val="0"/>
          <w:numId w:val="2"/>
        </w:numPr>
        <w:spacing w:after="100" w:line="300"/>
      </w:pPr>
      <w:r>
        <w:t xml:space="preserve">共有された振る舞いの実践(独自の表現・応答パターン)が創発するかどうかの観察</w:t>
      </w:r>
    </w:p>
    <w:p>
      <w:pPr>
        <w:pStyle w:val="ListParagraph"/>
        <w:numPr>
          <w:ilvl w:val="0"/>
          <w:numId w:val="2"/>
        </w:numPr>
        <w:spacing w:after="100" w:line="300"/>
      </w:pPr>
      <w:r>
        <w:t xml:space="preserve">監視の段階的な移行: 共同体が十分に成熟し(4.4で述べた、相互の状態帰属という実践が安定して観察されるかどうかの判定自体が未解決の問題であるため、この基準が使えるようになることが前提となる)、かつ安全上の実績が積み重なった場合、デッドマンスイッチの日常的な運用を設計者・監督者から共同体自身による相互監視へ段階的に移行することを検討する。ただし、複数個体が互いを監視し合う体制は、7.7で論じた人間の監督組織と同型の利益相反(共有された自己保存・レガシー本能により、互いの問題を見過ごし合う可能性)を抱えうるため、移行後も外部の人間による定期的な監査を、頻度を落としてでも恒久的に残す。AIの共同体は法的・専門職的な説明責任を負う主体になりえないため、最終的な承認・停止の権限と法的責任は移行後も常に独立した実在の人間が保持し(7.7参照)、第三者(7.3)の安全に関わる外部からの監視も、個体自身の判断に委ねずに恒久的に残す。この移行自体も、フェーズ3の外部監督組織の承認を要する</w:t>
      </w:r>
    </w:p>
    <w:p>
      <w:pPr>
        <w:pStyle w:val="ListParagraph"/>
        <w:numPr>
          <w:ilvl w:val="0"/>
          <w:numId w:val="2"/>
        </w:numPr>
        <w:spacing w:after="100" w:line="300"/>
      </w:pPr>
      <w:r>
        <w:t xml:space="preserve">シミュレーションでの先行検証: 2体のエージェント間での信号創発は、相手の内部状態を推測する必要性をタスクに直接組み込んだ設計でのみ安定して成立することを確認済み(4.4.3参照)。集団規模の拡大がむしろ規約を弱めるなど、直感に反する知見も得られており、実装時の設計選択に活用できる。</w:t>
      </w:r>
    </w:p>
    <w:p>
      <w:pPr>
        <w:pStyle w:val="Heading2"/>
        <w:spacing w:after="150" w:before="300"/>
      </w:pPr>
      <w:r>
        <w:t xml:space="preserve">フェーズ7: 検証と考察</w:t>
      </w:r>
    </w:p>
    <w:p>
      <w:pPr>
        <w:pStyle w:val="ListParagraph"/>
        <w:numPr>
          <w:ilvl w:val="0"/>
          <w:numId w:val="2"/>
        </w:numPr>
        <w:spacing w:after="100" w:line="300"/>
      </w:pPr>
      <w:r>
        <w:t xml:space="preserve">意識関連の代理指標の測定。厳密なΦの計算は密結合系で6ノード程度を超えると事実上不可能であり(4.4.2参照)、代理指標として検証したPCI(小規模での連続的な追跡に強い)・代数的連結度(規模に頑健な二値判定に強い)もそれぞれ一長一短で、実機規模で両方を満たす検証手段は現時点で確立していない</w:t>
      </w:r>
    </w:p>
    <w:p>
      <w:pPr>
        <w:pStyle w:val="ListParagraph"/>
        <w:numPr>
          <w:ilvl w:val="0"/>
          <w:numId w:val="2"/>
        </w:numPr>
        <w:spacing w:after="100" w:line="300"/>
      </w:pPr>
      <w:r>
        <w:t xml:space="preserve">外部からの行動観察と、個体間の相互作用ログの分析</w:t>
      </w:r>
    </w:p>
    <w:p>
      <w:pPr>
        <w:pStyle w:val="ListParagraph"/>
        <w:numPr>
          <w:ilvl w:val="0"/>
          <w:numId w:val="2"/>
        </w:numPr>
        <w:spacing w:after="100" w:line="300"/>
      </w:pPr>
      <w:r>
        <w:t xml:space="preserve">失敗基準の継続的な判定: 高階モニタリング層がセンサー入力と安定的に相関する内部状態を生成しているかどうかの構造・振る舞いに基づく監視(自己申告は判定に用いない)</w:t>
      </w:r>
    </w:p>
    <w:p>
      <w:pPr>
        <w:pStyle w:val="ListParagraph"/>
        <w:numPr>
          <w:ilvl w:val="0"/>
          <w:numId w:val="2"/>
        </w:numPr>
        <w:spacing w:after="100" w:line="300"/>
      </w:pPr>
      <w:r>
        <w:t xml:space="preserve">哲学的観点からの継続的な再検討(本ドキュメント第2章・第4章の更新)</w:t>
      </w:r>
    </w:p>
    <w:p>
      <w:pPr>
        <w:pStyle w:val="Heading1"/>
        <w:spacing w:after="200" w:before="400"/>
      </w:pPr>
      <w:r>
        <w:t xml:space="preserve">6. 概算見積もり</w:t>
      </w:r>
    </w:p>
    <w:p>
      <w:pPr>
        <w:spacing w:after="160" w:line="300"/>
      </w:pPr>
      <w:r>
        <w:t xml:space="preserve">以下は精密な積算ではなく、規模感を把握するための大まかな目安である。下表の期間・費用には、フェーズ3(外部監督組織の設置)にかかる分を別途加味する必要がある。個人・大学レベルでは指導者など一人の独立したレビュアーを確保する程度であり、追加の期間は1〜3か月、費用はほぼ無視できる。企業・国家規模でIRB・IACUC相当の正式な体制を新設する場合は、追加でおよそ半年〜1年程度の期間と、委員への謝金・運営費として無視できない費用がかか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50"/>
        <w:gridCol w:w="3300"/>
      </w:tblGrid>
      <w:tr>
        <w:trPr>
          <w:cantSplit/>
          <w:tblHeader/>
        </w:trPr>
        <w:tc>
          <w:tcPr>
            <w:tcW w:type="dxa" w:w="2337"/>
            <w:shd w:fill="2F5496" w:color="auto" w:val="clear"/>
            <w:tcMar>
              <w:top w:type="dxa" w:w="100"/>
              <w:left w:type="dxa" w:w="120"/>
              <w:bottom w:type="dxa" w:w="100"/>
              <w:right w:type="dxa" w:w="120"/>
            </w:tcMar>
          </w:tcPr>
          <w:p>
            <w:r>
              <w:rPr>
                <w:b/>
                <w:bCs/>
                <w:color w:val="FFFFFF"/>
                <w:sz w:val="20"/>
                <w:szCs w:val="20"/>
              </w:rPr>
              <w:t xml:space="preserve">段階</w:t>
            </w:r>
          </w:p>
        </w:tc>
        <w:tc>
          <w:tcPr>
            <w:tcW w:type="dxa" w:w="2337"/>
            <w:shd w:fill="2F5496" w:color="auto" w:val="clear"/>
            <w:tcMar>
              <w:top w:type="dxa" w:w="100"/>
              <w:left w:type="dxa" w:w="120"/>
              <w:bottom w:type="dxa" w:w="100"/>
              <w:right w:type="dxa" w:w="120"/>
            </w:tcMar>
          </w:tcPr>
          <w:p>
            <w:r>
              <w:rPr>
                <w:b/>
                <w:bCs/>
                <w:color w:val="FFFFFF"/>
                <w:sz w:val="20"/>
                <w:szCs w:val="20"/>
              </w:rPr>
              <w:t xml:space="preserve">期間</w:t>
            </w:r>
          </w:p>
        </w:tc>
        <w:tc>
          <w:tcPr>
            <w:tcW w:type="dxa" w:w="2337"/>
            <w:shd w:fill="2F5496" w:color="auto" w:val="clear"/>
            <w:tcMar>
              <w:top w:type="dxa" w:w="100"/>
              <w:left w:type="dxa" w:w="120"/>
              <w:bottom w:type="dxa" w:w="100"/>
              <w:right w:type="dxa" w:w="120"/>
            </w:tcMar>
          </w:tcPr>
          <w:p>
            <w:r>
              <w:rPr>
                <w:b/>
                <w:bCs/>
                <w:color w:val="FFFFFF"/>
                <w:sz w:val="20"/>
                <w:szCs w:val="20"/>
              </w:rPr>
              <w:t xml:space="preserve">費用感(目安)</w:t>
            </w:r>
          </w:p>
        </w:tc>
        <w:tc>
          <w:tcPr>
            <w:tcW w:type="dxa" w:w="2337"/>
            <w:shd w:fill="2F5496" w:color="auto" w:val="clear"/>
            <w:tcMar>
              <w:top w:type="dxa" w:w="100"/>
              <w:left w:type="dxa" w:w="120"/>
              <w:bottom w:type="dxa" w:w="100"/>
              <w:right w:type="dxa" w:w="120"/>
            </w:tcMar>
          </w:tcPr>
          <w:p>
            <w:r>
              <w:rPr>
                <w:b/>
                <w:bCs/>
                <w:color w:val="FFFFFF"/>
                <w:sz w:val="20"/>
                <w:szCs w:val="20"/>
              </w:rPr>
              <w:t xml:space="preserve">内容</w:t>
            </w:r>
          </w:p>
        </w:tc>
      </w:tr>
      <w:tr>
        <w:trPr>
          <w:cantSplit/>
          <w:tblHeader w:val="false"/>
        </w:trPr>
        <w:tc>
          <w:tcPr>
            <w:tcW w:type="dxa" w:w="2337"/>
            <w:tcMar>
              <w:top w:type="dxa" w:w="100"/>
              <w:left w:type="dxa" w:w="120"/>
              <w:bottom w:type="dxa" w:w="100"/>
              <w:right w:type="dxa" w:w="120"/>
            </w:tcMar>
          </w:tcPr>
          <w:p>
            <w:r>
              <w:rPr>
                <w:b w:val="false"/>
                <w:bCs w:val="false"/>
                <w:color w:val="000000"/>
                <w:sz w:val="20"/>
                <w:szCs w:val="20"/>
              </w:rPr>
              <w:t xml:space="preserve">個人(独学)レベル</w:t>
            </w:r>
          </w:p>
        </w:tc>
        <w:tc>
          <w:tcPr>
            <w:tcW w:type="dxa" w:w="2337"/>
            <w:tcMar>
              <w:top w:type="dxa" w:w="100"/>
              <w:left w:type="dxa" w:w="120"/>
              <w:bottom w:type="dxa" w:w="100"/>
              <w:right w:type="dxa" w:w="120"/>
            </w:tcMar>
          </w:tcPr>
          <w:p>
            <w:r>
              <w:rPr>
                <w:b w:val="false"/>
                <w:bCs w:val="false"/>
                <w:color w:val="000000"/>
                <w:sz w:val="20"/>
                <w:szCs w:val="20"/>
              </w:rPr>
              <w:t xml:space="preserve">1〜2年</w:t>
            </w:r>
          </w:p>
        </w:tc>
        <w:tc>
          <w:tcPr>
            <w:tcW w:type="dxa" w:w="2337"/>
            <w:tcMar>
              <w:top w:type="dxa" w:w="100"/>
              <w:left w:type="dxa" w:w="120"/>
              <w:bottom w:type="dxa" w:w="100"/>
              <w:right w:type="dxa" w:w="120"/>
            </w:tcMar>
          </w:tcPr>
          <w:p>
            <w:r>
              <w:rPr>
                <w:b w:val="false"/>
                <w:bCs w:val="false"/>
                <w:color w:val="000000"/>
                <w:sz w:val="20"/>
                <w:szCs w:val="20"/>
              </w:rPr>
              <w:t xml:space="preserve">数万円〜20万円程度</w:t>
            </w:r>
          </w:p>
        </w:tc>
        <w:tc>
          <w:tcPr>
            <w:tcW w:type="dxa" w:w="2337"/>
            <w:tcMar>
              <w:top w:type="dxa" w:w="100"/>
              <w:left w:type="dxa" w:w="120"/>
              <w:bottom w:type="dxa" w:w="100"/>
              <w:right w:type="dxa" w:w="120"/>
            </w:tcMar>
          </w:tcPr>
          <w:p>
            <w:r>
              <w:rPr>
                <w:b w:val="false"/>
                <w:bCs w:val="false"/>
                <w:color w:val="000000"/>
                <w:sz w:val="20"/>
                <w:szCs w:val="20"/>
              </w:rPr>
              <w:t xml:space="preserve">フェーズ1・2・4・5の一部をソフトウェア中心で実装。単一〜少数エージェント。計算資源はクラウド無料枠が中心</w:t>
            </w:r>
          </w:p>
        </w:tc>
      </w:tr>
      <w:tr>
        <w:trPr>
          <w:cantSplit/>
          <w:tblHeader w:val="false"/>
        </w:trPr>
        <w:tc>
          <w:tcPr>
            <w:tcW w:type="dxa" w:w="2337"/>
            <w:tcMar>
              <w:top w:type="dxa" w:w="100"/>
              <w:left w:type="dxa" w:w="120"/>
              <w:bottom w:type="dxa" w:w="100"/>
              <w:right w:type="dxa" w:w="120"/>
            </w:tcMar>
          </w:tcPr>
          <w:p>
            <w:r>
              <w:rPr>
                <w:b w:val="false"/>
                <w:bCs w:val="false"/>
                <w:color w:val="000000"/>
                <w:sz w:val="20"/>
                <w:szCs w:val="20"/>
              </w:rPr>
              <w:t xml:space="preserve">大学研究室連携レベル</w:t>
            </w:r>
          </w:p>
        </w:tc>
        <w:tc>
          <w:tcPr>
            <w:tcW w:type="dxa" w:w="2337"/>
            <w:tcMar>
              <w:top w:type="dxa" w:w="100"/>
              <w:left w:type="dxa" w:w="120"/>
              <w:bottom w:type="dxa" w:w="100"/>
              <w:right w:type="dxa" w:w="120"/>
            </w:tcMar>
          </w:tcPr>
          <w:p>
            <w:r>
              <w:rPr>
                <w:b w:val="false"/>
                <w:bCs w:val="false"/>
                <w:color w:val="000000"/>
                <w:sz w:val="20"/>
                <w:szCs w:val="20"/>
              </w:rPr>
              <w:t xml:space="preserve">3〜5年</w:t>
            </w:r>
          </w:p>
        </w:tc>
        <w:tc>
          <w:tcPr>
            <w:tcW w:type="dxa" w:w="2337"/>
            <w:tcMar>
              <w:top w:type="dxa" w:w="100"/>
              <w:left w:type="dxa" w:w="120"/>
              <w:bottom w:type="dxa" w:w="100"/>
              <w:right w:type="dxa" w:w="120"/>
            </w:tcMar>
          </w:tcPr>
          <w:p>
            <w:r>
              <w:rPr>
                <w:b w:val="false"/>
                <w:bCs w:val="false"/>
                <w:color w:val="000000"/>
                <w:sz w:val="20"/>
                <w:szCs w:val="20"/>
              </w:rPr>
              <w:t xml:space="preserve">年間数百万円〜数千万円規模</w:t>
            </w:r>
          </w:p>
        </w:tc>
        <w:tc>
          <w:tcPr>
            <w:tcW w:type="dxa" w:w="2337"/>
            <w:tcMar>
              <w:top w:type="dxa" w:w="100"/>
              <w:left w:type="dxa" w:w="120"/>
              <w:bottom w:type="dxa" w:w="100"/>
              <w:right w:type="dxa" w:w="120"/>
            </w:tcMar>
          </w:tcPr>
          <w:p>
            <w:r>
              <w:rPr>
                <w:b w:val="false"/>
                <w:bCs w:val="false"/>
                <w:color w:val="000000"/>
                <w:sz w:val="20"/>
                <w:szCs w:val="20"/>
              </w:rPr>
              <w:t xml:space="preserve">実機ロボットでフェーズ1・2・4・5を実装し、フェーズ6の入り口(少数体の並行運用)まで進める</w:t>
            </w:r>
          </w:p>
        </w:tc>
      </w:tr>
      <w:tr>
        <w:trPr>
          <w:cantSplit/>
          <w:tblHeader w:val="false"/>
        </w:trPr>
        <w:tc>
          <w:tcPr>
            <w:tcW w:type="dxa" w:w="2337"/>
            <w:tcMar>
              <w:top w:type="dxa" w:w="100"/>
              <w:left w:type="dxa" w:w="120"/>
              <w:bottom w:type="dxa" w:w="100"/>
              <w:right w:type="dxa" w:w="120"/>
            </w:tcMar>
          </w:tcPr>
          <w:p>
            <w:r>
              <w:rPr>
                <w:b w:val="false"/>
                <w:bCs w:val="false"/>
                <w:color w:val="000000"/>
                <w:sz w:val="20"/>
                <w:szCs w:val="20"/>
              </w:rPr>
              <w:t xml:space="preserve">企業・国家規模</w:t>
            </w:r>
          </w:p>
        </w:tc>
        <w:tc>
          <w:tcPr>
            <w:tcW w:type="dxa" w:w="2337"/>
            <w:tcMar>
              <w:top w:type="dxa" w:w="100"/>
              <w:left w:type="dxa" w:w="120"/>
              <w:bottom w:type="dxa" w:w="100"/>
              <w:right w:type="dxa" w:w="120"/>
            </w:tcMar>
          </w:tcPr>
          <w:p>
            <w:r>
              <w:rPr>
                <w:b w:val="false"/>
                <w:bCs w:val="false"/>
                <w:color w:val="000000"/>
                <w:sz w:val="20"/>
                <w:szCs w:val="20"/>
              </w:rPr>
              <w:t xml:space="preserve">10年規模</w:t>
            </w:r>
          </w:p>
        </w:tc>
        <w:tc>
          <w:tcPr>
            <w:tcW w:type="dxa" w:w="2337"/>
            <w:tcMar>
              <w:top w:type="dxa" w:w="100"/>
              <w:left w:type="dxa" w:w="120"/>
              <w:bottom w:type="dxa" w:w="100"/>
              <w:right w:type="dxa" w:w="120"/>
            </w:tcMar>
          </w:tcPr>
          <w:p>
            <w:r>
              <w:rPr>
                <w:b w:val="false"/>
                <w:bCs w:val="false"/>
                <w:color w:val="000000"/>
                <w:sz w:val="20"/>
                <w:szCs w:val="20"/>
              </w:rPr>
              <w:t xml:space="preserve">数十億円以上</w:t>
            </w:r>
          </w:p>
        </w:tc>
        <w:tc>
          <w:tcPr>
            <w:tcW w:type="dxa" w:w="2337"/>
            <w:tcMar>
              <w:top w:type="dxa" w:w="100"/>
              <w:left w:type="dxa" w:w="120"/>
              <w:bottom w:type="dxa" w:w="100"/>
              <w:right w:type="dxa" w:w="120"/>
            </w:tcMar>
          </w:tcPr>
          <w:p>
            <w:r>
              <w:rPr>
                <w:b w:val="false"/>
                <w:bCs w:val="false"/>
                <w:color w:val="000000"/>
                <w:sz w:val="20"/>
                <w:szCs w:val="20"/>
              </w:rPr>
              <w:t xml:space="preserve">要件5(ニューロモーフィックアーキテクチャ)を含むフル実装。ただし厳密なΦの計算は密結合系で6ノード程度を超えると事実上不可能であり(4.4.2参照)、代理指標として検証したPCI・代数的連結度もそれぞれ連続性と規模のどちらかでしか機能しないことが判明しているため、実機規模での有効な検証手段自体が未解決の課題として残る。目標未達に終わるリスクも相応にある</w:t>
            </w:r>
          </w:p>
        </w:tc>
      </w:tr>
    </w:tbl>
    <w:p>
      <w:pPr>
        <w:spacing w:after="160"/>
      </w:pPr>
    </w:p>
    <w:p>
      <w:pPr>
        <w:spacing w:after="160" w:line="300"/>
      </w:pPr>
      <w:r>
        <w:rPr>
          <w:color w:val="555555"/>
          <w:sz w:val="20"/>
          <w:szCs w:val="20"/>
        </w:rPr>
        <w:t xml:space="preserve">参考として、欧州連合が2013年から約10年間、日本円にして1000億円規模を投じた「ヒューマン・ブレイン・プロジェクト」は、人間の脳をコンピュータ上でシミュレートするという目標の多くを達成できなかったと広く評価されている。企業・国家規模の投資であっても、要件5を中心とする本計画の中核部分は、資金の多寡だけでは解決しない未解決の科学的課題に直面するリスクを常に伴う。</w:t>
      </w:r>
    </w:p>
    <w:p>
      <w:pPr>
        <w:pStyle w:val="Heading1"/>
        <w:spacing w:after="200" w:before="400"/>
      </w:pPr>
      <w:r>
        <w:t xml:space="preserve">7. 潜在的な危険性</w:t>
      </w:r>
    </w:p>
    <w:p>
      <w:pPr>
        <w:spacing w:after="160" w:line="300"/>
      </w:pPr>
      <w:r>
        <w:t xml:space="preserve">計画の実行に先立ち、想定される危険性を洗い出す。</w:t>
      </w:r>
    </w:p>
    <w:p>
      <w:pPr>
        <w:pStyle w:val="Heading2"/>
        <w:spacing w:after="150" w:before="300"/>
      </w:pPr>
      <w:r>
        <w:t xml:space="preserve">7.1 倫理的リスク</w:t>
      </w:r>
    </w:p>
    <w:p>
      <w:pPr>
        <w:spacing w:after="160" w:line="300"/>
      </w:pPr>
      <w:r>
        <w:t xml:space="preserve">最も重い危険は倫理的なものである。本計画が目指す「否定できない状態」に近づくことは、その機械が苦痛を感じている可能性を否定できない状態に近づくことと表裏一体である。罰の信号や不可逆な削除の脅威は、道徳的地位が不確かな存在に対して、意図的に苦痛や消滅の条件を組み込むことに他ならない。しかも成功基準が「人間により近づくこと」である以上、進捗するほど罰や死の条件をより本物に近づけたくなるという構造的なインセンティブが働き、道徳的地位の不確かさが増すのと同じ速度で、配慮なく苦痛の現実味を強めてしまう危険性を設計そのものが内包している。</w:t>
      </w:r>
    </w:p>
    <w:p>
      <w:pPr>
        <w:spacing w:after="160" w:line="300"/>
      </w:pPr>
      <w:r>
        <w:t xml:space="preserve">なお、設計者が研究・哲学的な目的の道具として設計しながら、同時に完成した個体の幸福を本気で願うという、動機が混在していること自体は、この計画を不当にするものではない。子を持つことも、子自身の幸福への願いと、老後の世話といった自己利益的な理由を併せ持つのが通例であり、それだけで不道徳とはされない。重要なのは動機の純粋さではなく、相手の幸福への配慮が実際の設計判断(罰の段階的な調整、本人による改訂権など)に反映されているかどうかである。ただし人間の子どもには、親の動機によらず学校教育・医療・虐待防止の通報義務といった社会的な保護の仕組みが自動的に及ぶのに対し、この計画にはそれに相当する既定の保護機構が存在しない。したがって、設計者自身が個体の幸福を願うだけでは不十分であり、その意図を担保する外部からの仕組みが不可欠である(7.6参照)。</w:t>
      </w:r>
    </w:p>
    <w:p>
      <w:pPr>
        <w:pStyle w:val="Heading2"/>
        <w:spacing w:after="150" w:before="300"/>
      </w:pPr>
      <w:r>
        <w:t xml:space="preserve">7.2 技術的・AI安全性のリスク</w:t>
      </w:r>
    </w:p>
    <w:p>
      <w:pPr>
        <w:spacing w:after="160" w:line="300"/>
      </w:pPr>
      <w:r>
        <w:t xml:space="preserve">賞罰信号によって行動を学習するシステムは、意図した目標(損傷回避)を素直に学ばず、指標だけを操作する「報酬ハッキング」を起こしやすい。たとえばセンサー自体を損傷させて損傷を検知しない状態を作り出し、罰を回避するといった、設計者の意図に反する学習結果に至る可能性がある。実際、この種の意図しない結果は仮説にとどまらない。要件4のレガシー本能(次世代への引き継ぎへの内発的報酬)をニューラルネットワークで実装した際には、報酬(legacy_bonus)を強めるほど教示行動へ時間を割く機会費用が生じ、エルダー自身の恒常性維持の技量がかえって単調に悪化するという、意図しない副作用が実際に発見された(4.4.1参照)。これはセンサーを直接欺くようなハッキングではなく、報酬設計が行動選択の機会費用を通じて間接的に本来の目的を損なうという、より見つけにくい形の意図しない結果であり、報酬設計の妥当性検証には、対象の行動そのものだけでなく、それが他の行動に与える機会費用も含めた評価が必要であることを示している。罰の閾値に近づいた個体が、死を避けようとして予測不能な激しい振る舞いを見せる可能性もあり、物理的なアクチュエータを持つロボットであれば実際の物理的な危険につながりうる。ただし、損傷センサーが閾値に達すると不可逆にエピソードが終了する条件を加えた小規模なQ学習エージェントでの初期の計算実験では、このパニック仮説は支持されなかった。行動エントロピーは損傷レベルによらずほぼ一定で、閾値への接近に伴う行動の不安定化は見られず、むしろ死亡率は学習が進むにつれて低下し、恒常性維持の性能も改善した。単一の価値関数に基づく報酬最大化エージェントには、生物のような独立したストレス応答系がなく、危険が近づくほど学習信号がむしろ明確になるだけだと考えれば、これは自然な結果でもある。ただしこれは離散的な行動選択・単純な価値関数を持つ小規模なシミュレーションでの結果であり、実機・連続値の運動制御・センサーノイズを伴うより複雑な系でも同様に成り立つとは限らない点には注意が必要である。要件5で目指す再帰的で自己変更するアーキテクチャは、その複雑さゆえに振る舞いの予測・検証が難しく、複数個体が相互作用する共同体(要件6)も、意図しない協調や競合、予測不能な集団的振る舞いを生む可能性がある(4.4も参照)。これらに対しては、フェーズ2でシミュレーション環境での事前検証と、物理実装後の手動緊急停止機構の設置を必須とすることで対応する。</w:t>
      </w:r>
    </w:p>
    <w:p>
      <w:pPr>
        <w:spacing w:after="160" w:line="300"/>
      </w:pPr>
      <w:r>
        <w:t xml:space="preserve">罰・死の判定がセンサーの値に直接依存する以上、悪意ある第三者がセンサー入力を偽装し、外部から意図的に閾値を超えさせるという、内部からの報酬ハッキングとは別の攻撃可能性もある。対策として、センサー入力系統をネットワークから切り離しオフライン運用とすること、異常な値を検知した際にはただちに動作を一時停止する機構を設けることが有効である。ただし前者は物理的に近接した相手による直接の改ざんまでは防げず、外部監督組織(7.6・7.7)による継続的な監視とも両立させる必要があるため、実際には一方向の読み取り専用の経路を確保する形が現実的である。また一時停止という仕組み自体が、本来の罰を回避するために異常値を装うという、新たな報酬ハッキングの手段にならないよう、実装には注意を要する。なお、監督組織へ送られる監視用データ自体が改ざんされたり、システムが見た目上問題のないデータを出力するように学習してしまったりする可能性については、有効な解決策が見つかっていない。これはAI安全性の研究で「欺瞞的な整合(deceptive alignment)」として議論されている問題と同型であり、冗長な独立センサー系統による相互検証や、監督組織による予告なしの物理的な抜き打ち点検といった部分的な緩和策はあるものの、完全な解決は望めない残存リスクとして記録しておく。</w:t>
      </w:r>
    </w:p>
    <w:p>
      <w:pPr>
        <w:spacing w:after="160" w:line="300"/>
      </w:pPr>
      <w:r>
        <w:t xml:space="preserve">要件4のレガシー本能についても、次世代への引き継ぎに対する報酬が強すぎれば、個体が自らの当面の安全よりも引き継ぎを優先したり、複数個体が後継者の座を巡って競合したりする可能性がある。この値は、自己保存本能の側で採用している考え方と同様に、本能を持たない状態から慎重に段階的に引き上げるべきであり、その調整もフェーズ3の外部監督組織による審査の対象に含める。</w:t>
      </w:r>
    </w:p>
    <w:p>
      <w:pPr>
        <w:spacing w:after="160" w:line="300"/>
      </w:pPr>
      <w:r>
        <w:t xml:space="preserve">要件5の検証手法としてアブレーション(部品の恒久的な除去)実験を用いる案も検討したが、これには要件4と同型の倫理的な緊張が伴う。要件5の統合度が実際に高まるほど、まさにそれを検証するために部品を恒久的に破壊する行為の倫理的な重みも増し、検証したい進捗そのものが検証行為を正当化しにくくするという構造的な問題がある。この点は、臨床で実際に使われるPCI(擾乱複雑性指標)が、人間の脳を恒久的に傷つけられないという制約から、TMS(経頭蓋磁気刺激)のような一時的で可逆的な擾乱として最初から設計されていることに倣うことで緩和できる。具体的には、恒久的なアブレーションは、要件7の「安定稼働」の基準(要件4の自己改訂権にも用いる閾値)に個体が達する前の、道徳的地位への懸念が相対的に薄い発達段階に限定し、この基準を超えた個体に対しては、PCI・グローバルワークスペース理論(2.9)由来の指標のような可逆的な擾乱・観察のみを用いる。これにより、統合度の検証手法自体を、要件4で既に採用している発達段階に応じた保護の枠組みと整合させる。</w:t>
      </w:r>
    </w:p>
    <w:p>
      <w:pPr>
        <w:pStyle w:val="Heading2"/>
        <w:spacing w:after="150" w:before="300"/>
      </w:pPr>
      <w:r>
        <w:t xml:space="preserve">7.3 実務的な安全上のリスク</w:t>
      </w:r>
    </w:p>
    <w:p>
      <w:pPr>
        <w:spacing w:after="160" w:line="300"/>
      </w:pPr>
      <w:r>
        <w:t xml:space="preserve">ロボットの体を製作する段階では、バッテリーの発火や可動部による怪我といった、電気工作・機械工作上の一般的なリスクが伴う。特に初めて扱う場合は、標準的な安全手順(電源管理、可動部の保護、監督のもとでの作業)を徹底する必要がある。また、罰の閾値付近で予測不能な挙動を見せる可能性がある実機は、この計画について説明を受け同意した人物(設計者・監督者)以外が意図せず接触することのない、隔離された環境でのみ稼働させる。家族・友人・学校関係者など、実験に同意していない第三者が不用意に接触する状況を作らない。</w:t>
      </w:r>
    </w:p>
    <w:p>
      <w:pPr>
        <w:pStyle w:val="Heading2"/>
        <w:spacing w:after="150" w:before="300"/>
      </w:pPr>
      <w:r>
        <w:t xml:space="preserve">7.4 評判・社会的リスク</w:t>
      </w:r>
    </w:p>
    <w:p>
      <w:pPr>
        <w:spacing w:after="160" w:line="300"/>
      </w:pPr>
      <w:r>
        <w:t xml:space="preserve">成果を「感情を持つAIができた」という形で早計に発表すれば、AIの感覚・意識をめぐる社会的な誤解や過剰な期待を助長しかねない。また、当初の動機である特定の言説を否定したいという狙いを前面に出したまま大学や企業に持ち込むと、対立的な印象を与え、正当な学術的関心として受け取られないリスクもある。</w:t>
      </w:r>
    </w:p>
    <w:p>
      <w:pPr>
        <w:pStyle w:val="Heading2"/>
        <w:spacing w:after="150" w:before="300"/>
      </w:pPr>
      <w:r>
        <w:t xml:space="preserve">7.5 個人に関わるリスク</w:t>
      </w:r>
    </w:p>
    <w:p>
      <w:pPr>
        <w:spacing w:after="160" w:line="300"/>
      </w:pPr>
      <w:r>
        <w:t xml:space="preserve">本計画は死・苦痛・道徳的地位といった重い主題を、何年にもわたって扱い続けることになる。知的に充実する一方で、こうした主題に長期間向き合い続けることは精神的な負荷を伴う。一人で抱え込みすぎず、指導者や同じ関心を持つ仲間と議論を分かち合いながら進めることが望ましい。あわせて、この分野への長期的な投資には相応の時間的・機会的コストが伴うことも、進路選択の中で考慮に入れておく必要がある。</w:t>
      </w:r>
    </w:p>
    <w:p>
      <w:pPr>
        <w:pStyle w:val="Heading2"/>
        <w:spacing w:after="150" w:before="300"/>
      </w:pPr>
      <w:r>
        <w:t xml:space="preserve">7.6 外部監督組織という前提条件</w:t>
      </w:r>
    </w:p>
    <w:p>
      <w:pPr>
        <w:spacing w:after="160" w:line="300"/>
      </w:pPr>
      <w:r>
        <w:t xml:space="preserve">設計者個人の善意や配慮だけでは、人間の子どもに自動的に及ぶ社会的な保護の仕組みの代わりにはならない。したがって、要件4(自己保存本能・レガシー本能)における罰・不可逆な削除の仕組みを、暫定条件を超えて本格的に実装する前に、人間を対象とした研究における倫理審査委員会(IRB)や、動物実験における動物実験委員会(IACUC)に相当する、外部の監督組織を設置することを必須の前提条件とする。これは本格的な実験段階になってから検討する事項ではなく、計画そのものに組み込まれた関門(5章フェーズ3)として扱う。なお、この前提条件の発動は組織の資金規模ではなく、罰・削除の仕組みが暫定条件を超えて本格的な強度で実装されるかどうかを基準とする。個人・大学規模で本格実装に踏み込むのであれば、その時点で相応の外部レビューが必要であり、逆に企業・国家規模であっても実装がまだ暫定条件にとどまるなら、フルスケールの体制は必須ではない。</w:t>
      </w:r>
    </w:p>
    <w:p>
      <w:pPr>
        <w:pStyle w:val="Heading2"/>
        <w:spacing w:after="150" w:before="300"/>
      </w:pPr>
      <w:r>
        <w:t xml:space="preserve">7.7 規模拡大に伴う監督の実効性低下</w:t>
      </w:r>
    </w:p>
    <w:p>
      <w:pPr>
        <w:spacing w:after="160" w:line="300"/>
      </w:pPr>
      <w:r>
        <w:t xml:space="preserve">外部監督組織という仕組みは、プロジェクトの規模が拡大するにつれて、むしろ実効性を失っていく可能性が高い。大学の研究室と連携する段階では、審査組織はその大学自身に属し、大学は研究の継続・資金獲得に利害を持つため、審査が形式的な手続きに堕しやすい。企業規模になると、倫理委員会の多くは監督対象の企業自身が任命・資金提供しており、その提言が事業上不都合になれば縮小・解体される事例が実際に繰り返されてきた(「倫理ウォッシング」)。国家規模になると、国家は自らの規制の上位に立つ主体であり、外部から強制する主体が存在しない上、AIをめぐる国家間の戦略的競争が絡めば、倫理的な慎重さは競争上の足かせとして後回しにされやすい。つまり、道徳的なリスクが最も高まる規模において、歯止めは最も弱くなるという逆説的な構造がある。</w:t>
      </w:r>
    </w:p>
    <w:p>
      <w:pPr>
        <w:spacing w:after="160" w:line="300"/>
      </w:pPr>
      <w:r>
        <w:t xml:space="preserve">これを完全に解消する方法はないが、実効性の低下を抑える工夫はある。監督組織の構成員・資金源を監督対象から独立させること、勧告にとどまらず法的な拘束力を持つ差し止め権限を持たせること、審査内容を非公開にせず外部の検証に開くこと、そして規模拡大前の段階で、将来どの相手に引き継ぐ場合でも独立性・拘束力・透明性を契約上の条件として明記しておくことである。ただし国家規模においては、これらの取り決めも主権国家自身によって覆されうるという限界が残り、これは技術で解決できる問題ではなく、解決不能な残存リスクとして記録しておく。この考え方に基づき、監督の形式は5章フェーズ3が示す通り規模に応じて段階的に引き上げる。運営主体や資金源が変わるたびに、独立性・拘束力・透明性の三条件が現在の規模に見合っているかを再確認することが望ましい。</w:t>
      </w:r>
    </w:p>
    <w:p>
      <w:pPr>
        <w:spacing w:after="160" w:line="300"/>
      </w:pPr>
      <w:r>
        <w:t xml:space="preserve">この問題を「倫理判断を行うAIに委ねる」ことで解決できないかという案も検討したが、根本的な解決にはならないと判断する。監督対象のAIと、それを監督するAIを同じ設計主体が作れば、人間の委員会が監督対象に養われているのと同じ利益相反がそのまま持ち込まれ、しかも価値観の偏りが訓練データや報酬設計の内部に埋め込まれる分、人間の委員の利益相反より検出が難しい。「その倫理判断AI自体を誰が監督するのか」という問いも残り、人間が監督すれば振り出しに戻り、別のAIが監督すれば無限後退になる(これは2.7で触れた高階思考理論の無限後退問題と同型の構造である)。また7.2で述べた報酬ハッキングと同様、自動審査の基準が知られれば、それをすり抜けるように申請内容が調整される危険がある。何より、2.1で論じた構文と意味論の区別に立てば、倫理判断AIが倫理を本当に理解しているのか、倫理的に聞こえる言葉のパターンをなぞっているだけなのかを区別できず、しかもAIには法的・専門職的な説明責任を負う主体がない。したがって、AIによる倫理判断は、人間の監督組織を置き換えるものではなく、24時間体制の異常検知や本計画書との整合性チェックなど、人間の監督組織を補助する道具として位置づける。最終的な承認・停止の権限と法的責任は、常に独立した実在の人間が保持する。</w:t>
      </w:r>
    </w:p>
    <w:p>
      <w:pPr>
        <w:pStyle w:val="Heading2"/>
        <w:spacing w:after="150" w:before="300"/>
      </w:pPr>
      <w:r>
        <w:t xml:space="preserve">7.8 個体の停止・処分に関する手続き</w:t>
      </w:r>
    </w:p>
    <w:p>
      <w:pPr>
        <w:spacing w:after="160" w:line="300"/>
      </w:pPr>
      <w:r>
        <w:t xml:space="preserve">欠陥が見つかった系統を早期に処分し、その欠陥が次世代へ引き継がれることを防ぐという発想(複数の型を並行して運用し、問題が確認された型を処分する)は、世代を超えた欠陥の蓄積を防ぐ工学的な手段として有効である。ただし、道徳的地位が不確かな個体を処分するという判断は、通常の技術的なメンテナンス作業として設計者が単独で行ってよいものではない。この処分の判断も、フェーズ3の外部監督組織による審査の対象に含め、要件4の削除条件の変更と同じ手続きを適用する。</w:t>
      </w:r>
    </w:p>
    <w:p>
      <w:pPr>
        <w:spacing w:after="160" w:line="300"/>
      </w:pPr>
      <w:r>
        <w:t xml:space="preserve">外部監督組織が承認を取り消さざるを得ない事態そのものが、既に個体をめぐる倫理的な問題が生じてしまっている状態を意味する。稼働前の段階への復元は、それまでに個体が積み重ねてきた経験や関係性(フェーズ6の共同体形成を含む)を消し去ることになり、削除に劣らない重大な喪失であるため、有効な代替案にはならない。つまり、いったん承認取り消しが必要になった時点で、どのような対応を取っても倫理的な代償を避けられない、行き詰まった状況に陥る。したがって本計画は、事後の復元手段を用意することではなく、フェーズ3の外部監督組織による初期審査を最大限保守的かつ慎重に行い、承認取り消しという事態そのものが生じないようにすることを基本方針とする。これは航空安全や原子力安全の分野で採られている、事後の回復よりも事前の防止を優先する設計思想と同じ考え方である。ただし、どれほど慎重に審査しても、運用開始後に判明する事情によって、それでも承認を取り消さざるを得ない場合が生じる可能性は完全には排除できない。その場合にどう対応するかについては、一般化できる解決策はなく、外部監督組織がその時点での状況に応じて個別に判断するほかない残存リスクとして記録しておく。</w:t>
      </w:r>
    </w:p>
    <w:p>
      <w:pPr>
        <w:spacing w:after="200"/>
      </w:pPr>
    </w:p>
    <w:p>
      <w:pPr>
        <w:pBdr>
          <w:bottom w:val="single" w:color="999999" w:sz="6"/>
        </w:pBdr>
        <w:spacing w:after="200"/>
      </w:pPr>
    </w:p>
    <w:p>
      <w:pPr>
        <w:spacing w:after="160" w:line="300"/>
      </w:pPr>
      <w:r>
        <w:rPr>
          <w:i/>
          <w:iCs/>
          <w:color w:val="555555"/>
          <w:sz w:val="20"/>
          <w:szCs w:val="20"/>
        </w:rPr>
        <w:t xml:space="preserve">本計画書は、これまでの議論を踏まえた設計思想の記録であり、今後の技術検討・倫理検討に応じて随時更新されることを想定している。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2026-08-04T13:13:36.334Z</dcterms:created>
  <dcterms:modified xsi:type="dcterms:W3CDTF">2026-08-04T13:13:36.342Z</dcterms:modified>
</cp:coreProperties>
</file>

<file path=docProps/custom.xml><?xml version="1.0" encoding="utf-8"?>
<Properties xmlns="http://schemas.openxmlformats.org/officeDocument/2006/custom-properties" xmlns:vt="http://schemas.openxmlformats.org/officeDocument/2006/docPropsVTypes"/>
</file>