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Learning–Based Inference of Gene–Reaction Associations</w:t>
      </w:r>
    </w:p>
    <w:p>
      <w:pPr>
        <w:pStyle w:val="Heading1"/>
      </w:pPr>
      <w:r>
        <w:t>1. Problem Definition</w:t>
      </w:r>
    </w:p>
    <w:p>
      <w:pPr>
        <w:spacing w:after="200"/>
      </w:pPr>
      <w:r>
        <w:t>Genome-scale metabolic models describe biochemical reactions and their associated genes through gene–protein–reaction (GPR) rules. These annotations are often incomplete or unevenly curated. The goal of this program is to learn from existing curated GPR information and predict plausible gene candidates for reactions within the same metabolic model. The task is framed as a gene–reaction compatibility problem rather than explicit reconstruction of Boolean GPR logic.</w:t>
      </w:r>
    </w:p>
    <w:p>
      <w:pPr>
        <w:pStyle w:val="Heading1"/>
      </w:pPr>
      <w:r>
        <w:t>2. Input Data</w:t>
      </w:r>
    </w:p>
    <w:p>
      <w:pPr>
        <w:spacing w:after="200"/>
      </w:pPr>
      <w:r>
        <w:t>The pipeline operates on data derived from a genome-scale metabolic model (SBML format) and produces structured, analysis-ready datasets:</w:t>
        <w:br/>
        <w:br/>
        <w:t>- reactions.parquet: reaction-level information including metabolites, subsystems, and curated genes.</w:t>
        <w:br/>
        <w:t>- genes.parquet: gene-level fingerprints summarizing metabolites and subsystems associated with each gene.</w:t>
        <w:br/>
        <w:t>- pairs.parquet: labeled (reaction, gene) pairs with positive examples from curated GPRs and hard negative samples.</w:t>
        <w:br/>
        <w:t>- features.parquet: numeric feature vectors derived from biological context for each reaction–gene pair.</w:t>
      </w:r>
    </w:p>
    <w:p>
      <w:pPr>
        <w:pStyle w:val="Heading1"/>
      </w:pPr>
      <w:r>
        <w:t>3. Method Overview</w:t>
      </w:r>
    </w:p>
    <w:p>
      <w:pPr>
        <w:spacing w:after="200"/>
      </w:pPr>
      <w:r>
        <w:t>The method treats gene assignment to reactions as a supervised learning and ranking problem. Each candidate (reaction, gene) pair is represented by biologically motivated features capturing metabolite overlap and pathway context. Machine learning models are trained to distinguish true gene–reaction associations from biologically plausible but incorrect alternatives.</w:t>
      </w:r>
    </w:p>
    <w:p>
      <w:pPr>
        <w:pStyle w:val="Heading1"/>
      </w:pPr>
      <w:r>
        <w:t>4. Feature Engineering</w:t>
      </w:r>
    </w:p>
    <w:p>
      <w:pPr>
        <w:spacing w:after="200"/>
      </w:pPr>
      <w:r>
        <w:t>For each reaction–gene pair, the following interpretable features are computed:</w:t>
        <w:br/>
        <w:br/>
        <w:t>1. jacc_mets: Jaccard similarity between reaction metabolites and the gene’s metabolite fingerprint.</w:t>
        <w:br/>
        <w:t>2. overlap_mets: Number of shared metabolites between the reaction and the gene fingerprint.</w:t>
        <w:br/>
        <w:t>3. n_mets_rxn: Total number of metabolites participating in the reaction (reactants and products).</w:t>
        <w:br/>
        <w:t>4. n_mets_gene_fp: Number of metabolites associated with the gene across all reactions in the model.</w:t>
        <w:br/>
        <w:t>5. subsystem_match: Binary indicator of whether the reaction subsystem appears in the gene’s subsystem fingerprint.</w:t>
        <w:br/>
        <w:t>6. n_subsys_gene_fp: Number of distinct subsystems associated with the gene.</w:t>
        <w:br/>
        <w:br/>
        <w:t>These features encode biochemical specificity, pathway consistency, and gene promiscuity within the metabolic network.</w:t>
      </w:r>
    </w:p>
    <w:p>
      <w:pPr>
        <w:pStyle w:val="Heading1"/>
      </w:pPr>
      <w:r>
        <w:t>5. Learning Models</w:t>
      </w:r>
    </w:p>
    <w:p>
      <w:pPr>
        <w:spacing w:after="200"/>
      </w:pPr>
      <w:r>
        <w:t>Two model classes are used:</w:t>
        <w:br/>
        <w:br/>
        <w:t>- Logistic Regression: A linear, interpretable baseline with class balancing.</w:t>
        <w:br/>
        <w:t>- XGBoost: A nonlinear gradient-boosted tree model capable of capturing interactions between features and handling class imbalance via scale_pos_weight.</w:t>
        <w:br/>
        <w:br/>
        <w:t>Models are trained using reaction-wise splits to avoid data leakage, ensuring that all candidate genes for a given reaction appear exclusively in either training or testing data.</w:t>
      </w:r>
    </w:p>
    <w:p>
      <w:pPr>
        <w:pStyle w:val="Heading1"/>
      </w:pPr>
      <w:r>
        <w:t>6. Evaluation Strategy</w:t>
      </w:r>
    </w:p>
    <w:p>
      <w:pPr>
        <w:spacing w:after="200"/>
      </w:pPr>
      <w:r>
        <w:t>Model performance is evaluated using both classification and ranking metrics:</w:t>
        <w:br/>
        <w:br/>
        <w:t>- Average Precision (PR-AUC)</w:t>
        <w:br/>
        <w:t>- ROC-AUC</w:t>
        <w:br/>
        <w:t>- hit@k: Reaction-level ranking metric indicating whether at least one true gene is ranked in the top-k predictions for each reaction.</w:t>
        <w:br/>
        <w:br/>
        <w:t>This evaluation reflects the biological use case of prioritizing candidate genes rather than making binary decisions.</w:t>
      </w:r>
    </w:p>
    <w:p>
      <w:pPr>
        <w:pStyle w:val="Heading1"/>
      </w:pPr>
      <w:r>
        <w:t>7. Candidate Gene Ranking</w:t>
      </w:r>
    </w:p>
    <w:p>
      <w:pPr>
        <w:spacing w:after="200"/>
      </w:pPr>
      <w:r>
        <w:t>After training, the model is applied to rank candidate genes for each reaction. A biologically plausible candidate pool is constructed using shared metabolites and subsystem neighborhoods. Each candidate gene is scored using the trained model, and the top-ranked genes per reaction are exported for downstream inspection and hypothesis generation.</w:t>
      </w:r>
    </w:p>
    <w:p>
      <w:pPr>
        <w:pStyle w:val="Heading1"/>
      </w:pPr>
      <w:r>
        <w:t>8. Output</w:t>
      </w:r>
    </w:p>
    <w:p>
      <w:pPr>
        <w:spacing w:after="200"/>
      </w:pPr>
      <w:r>
        <w:t>The final outputs of the pipeline include:</w:t>
        <w:br/>
        <w:br/>
        <w:t>- Trained model files (.joblib)</w:t>
        <w:br/>
        <w:t>- Evaluation metrics in JSON format</w:t>
        <w:br/>
        <w:t>- Feature importance or coefficient summaries</w:t>
        <w:br/>
        <w:t>- Ranked candidate gene lists per reaction (CSV)</w:t>
        <w:br/>
        <w:br/>
        <w:t>These outputs support reproducible analysis, biological interpretation, and model comparison.</w:t>
      </w:r>
    </w:p>
    <w:p>
      <w:pPr>
        <w:pStyle w:val="Heading1"/>
      </w:pPr>
      <w:r>
        <w:t>9. Scope and Limitations</w:t>
      </w:r>
    </w:p>
    <w:p>
      <w:pPr>
        <w:spacing w:after="200"/>
      </w:pPr>
      <w:r>
        <w:t>The method predicts gene–reaction compatibility but does not reconstruct Boolean GPR logic (AND/OR relationships). Each gene is evaluated independently, and joint gene dependencies are not modeled. The approach is intended as a prioritization and curation support tool rather than a full mechanistic reconstruction of enzyme complexes.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