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both"/>
        <w:rPr/>
      </w:pPr>
      <w:r>
        <w:rPr/>
        <w:t>Scientific Report: Application and Rationale of the Kruskal–Wallis Test for Disease-associated Gene Expression Differences</w:t>
      </w:r>
    </w:p>
    <w:p>
      <w:pPr>
        <w:pStyle w:val="Heading2"/>
        <w:jc w:val="both"/>
        <w:rPr/>
      </w:pPr>
      <w:r>
        <w:rPr/>
        <w:t>1. Background and Research Objective</w:t>
      </w:r>
    </w:p>
    <w:p>
      <w:pPr>
        <w:pStyle w:val="Normal"/>
        <w:jc w:val="both"/>
        <w:rPr/>
      </w:pPr>
      <w:r>
        <w:rPr/>
        <w:t>The goal of this analysis is to identify genes whose expression levels differ significantly across disease states in a single-cell RNA sequencing (scRNA-seq) dataset derived from colon tissues. The dataset, scIBD_Colon.h5ad, contains single-cell expression profiles from multiple inflammatory conditions (e.g., UC_inflamed, UC_non_inflamed, CD_inflamed, Colitis_inflamed, and Healthy).</w:t>
      </w:r>
    </w:p>
    <w:p>
      <w:pPr>
        <w:pStyle w:val="Normal"/>
        <w:jc w:val="both"/>
        <w:rPr/>
      </w:pPr>
      <w:r>
        <w:rPr/>
        <w:t>Each cell is annotated by two categorical features: 'disease' (pathological or healthy state) and 'minor_cluster' (refined cell-type label such as enterocytes, macrophages, or goblet cells). The objective is to test whether gene expression distributions differ between diseases, both globally and within individual cell clusters.</w:t>
      </w:r>
    </w:p>
    <w:p>
      <w:pPr>
        <w:pStyle w:val="Normal"/>
        <w:jc w:val="both"/>
        <w:rPr/>
      </w:pPr>
      <w:r>
        <w:rPr/>
      </w:r>
    </w:p>
    <w:p>
      <w:pPr>
        <w:pStyle w:val="Heading2"/>
        <w:jc w:val="both"/>
        <w:rPr/>
      </w:pPr>
      <w:r>
        <w:rPr/>
        <w:t>2. Statistical Problem</w:t>
      </w:r>
    </w:p>
    <w:p>
      <w:pPr>
        <w:pStyle w:val="Normal"/>
        <w:jc w:val="both"/>
        <w:rPr/>
      </w:pPr>
      <w:r>
        <w:rPr/>
        <w:t>For each gene g, we aim to determine whether its expression distribution differs among k disease groups. Formally, the null hypothesis (H0) states that all diseases share the same distribution, while the alternative hypothesis (H1) posits that at least one group differs. Due to the non-normal and zero-inflated nature of scRNA-seq data, parametric tests such as ANOVA are not appropriate, necessitating a rank-based non-parametric approach.</w:t>
      </w:r>
    </w:p>
    <w:p>
      <w:pPr>
        <w:pStyle w:val="Normal"/>
        <w:jc w:val="both"/>
        <w:rPr/>
      </w:pPr>
      <w:r>
        <w:rPr/>
      </w:r>
    </w:p>
    <w:p>
      <w:pPr>
        <w:pStyle w:val="Heading2"/>
        <w:jc w:val="both"/>
        <w:rPr/>
      </w:pPr>
      <w:r>
        <w:rPr/>
        <w:t>3. Why the Kruskal–Wallis Test is Appropriate</w:t>
      </w:r>
    </w:p>
    <w:p>
      <w:pPr>
        <w:pStyle w:val="Normal"/>
        <w:jc w:val="both"/>
        <w:rPr/>
      </w:pPr>
      <w:r>
        <w:rPr/>
        <w:t>The Kruskal–Wallis H-test is the non-parametric analogue of one-way ANOVA. It assesses whether samples from multiple groups originate from the same distribution, without assuming normality or homogeneity of variance. This makes it ideal for single-cell data, which are often skewed, sparse, and heteroscedastic.</w:t>
      </w:r>
    </w:p>
    <w:p>
      <w:pPr>
        <w:pStyle w:val="Normal"/>
        <w:jc w:val="both"/>
        <w:rPr/>
      </w:pPr>
      <w:r>
        <w:rPr/>
        <w:t>Key advantages of the Kruskal–Wallis test in this context include:</w:t>
      </w:r>
    </w:p>
    <w:p>
      <w:pPr>
        <w:pStyle w:val="Normal"/>
        <w:jc w:val="both"/>
        <w:rPr/>
      </w:pPr>
      <w:r>
        <w:rPr/>
        <w:t xml:space="preserve">• </w:t>
      </w:r>
      <w:r>
        <w:rPr/>
        <w:t>It does not assume a normal distribution, handling zero-inflated data naturally.</w:t>
        <w:br/>
        <w:t>• It accommodates unequal group sizes, as disease groups may contain differing cell counts.</w:t>
        <w:br/>
        <w:t>• It is robust to outliers and non-linear effects.</w:t>
        <w:br/>
        <w:t>• It allows simultaneous comparison of more than two diseases.</w:t>
        <w:br/>
        <w:t>• It operates on ranked values, mitigating scaling differences in expression levels.</w:t>
      </w:r>
    </w:p>
    <w:p>
      <w:pPr>
        <w:pStyle w:val="Normal"/>
        <w:jc w:val="both"/>
        <w:rPr/>
      </w:pPr>
      <w:r>
        <w:rPr/>
      </w:r>
    </w:p>
    <w:p>
      <w:pPr>
        <w:pStyle w:val="Heading2"/>
        <w:jc w:val="both"/>
        <w:rPr/>
      </w:pPr>
      <w:r>
        <w:rPr/>
        <w:t>4. Mathematical Formulation</w:t>
      </w:r>
    </w:p>
    <w:p>
      <w:pPr>
        <w:pStyle w:val="Normal"/>
        <w:jc w:val="both"/>
        <w:rPr/>
      </w:pPr>
      <w:r>
        <w:rPr/>
        <w:t>The Kruskal–Wallis statistic H is computed as:</w:t>
        <w:br/>
        <w:br/>
        <w:t>H = (12 / (N * (N + 1))) * Σ[n_i * (R̄_i - R̄)^2]</w:t>
        <w:br/>
        <w:br/>
        <w:t>where N is the total number of observations, n_i is the number of observations in group i, R̄_i is the mean rank in group i, and R̄ is the average rank across all groups. If all diseases have similar expression distributions, their average ranks will be similar, and H will be small. Larger deviations in average ranks result in higher H values, indicating significant differences between diseases. Under the null hypothesis, H follows approximately a chi-squared distribution with (k-1) degrees of freedom.</w:t>
      </w:r>
    </w:p>
    <w:p>
      <w:pPr>
        <w:pStyle w:val="Normal"/>
        <w:jc w:val="both"/>
        <w:rPr/>
      </w:pPr>
      <w:r>
        <w:rPr/>
      </w:r>
    </w:p>
    <w:p>
      <w:pPr>
        <w:pStyle w:val="Heading2"/>
        <w:jc w:val="both"/>
        <w:rPr/>
      </w:pPr>
      <w:r>
        <w:rPr/>
        <w:t>5. Correction for Multiple Testing</w:t>
      </w:r>
    </w:p>
    <w:p>
      <w:pPr>
        <w:pStyle w:val="Normal"/>
        <w:jc w:val="both"/>
        <w:rPr/>
      </w:pPr>
      <w:r>
        <w:rPr/>
        <w:t>Since the test is applied to thousands of genes, multiple testing correction is necessary. The Benjamini–Hochberg False Discovery Rate (FDR) method is used to adjust p-values, controlling the expected proportion of false positives among significant results.</w:t>
      </w:r>
    </w:p>
    <w:p>
      <w:pPr>
        <w:pStyle w:val="Normal"/>
        <w:jc w:val="both"/>
        <w:rPr/>
      </w:pPr>
      <w:r>
        <w:rPr/>
      </w:r>
    </w:p>
    <w:p>
      <w:pPr>
        <w:pStyle w:val="Heading2"/>
        <w:jc w:val="both"/>
        <w:rPr/>
      </w:pPr>
      <w:r>
        <w:rPr/>
        <w:t>6. Implementation in the Pipeline</w:t>
      </w:r>
    </w:p>
    <w:p>
      <w:pPr>
        <w:pStyle w:val="Normal"/>
        <w:jc w:val="both"/>
        <w:rPr/>
      </w:pPr>
      <w:r>
        <w:rPr/>
        <w:t>For each gene:</w:t>
        <w:br/>
        <w:t>1. Extract expression values for all cells.</w:t>
        <w:br/>
        <w:t>2. Group cells by 'disease' (or by 'disease' within each 'minor_cluster').</w:t>
        <w:br/>
        <w:t>3. Compute the Kruskal–Wallis H statistic and p-value.</w:t>
        <w:br/>
        <w:t>4. Adjust p-values using Benjamini–Hochberg FDR.</w:t>
        <w:br/>
        <w:t>5. Save results globally (gene_disease_significance.csv) and per cluster (kruskal_per_cluster/*.csv).</w:t>
      </w:r>
    </w:p>
    <w:p>
      <w:pPr>
        <w:pStyle w:val="Normal"/>
        <w:jc w:val="both"/>
        <w:rPr/>
      </w:pPr>
      <w:r>
        <w:rPr/>
      </w:r>
    </w:p>
    <w:p>
      <w:pPr>
        <w:pStyle w:val="Heading2"/>
        <w:jc w:val="both"/>
        <w:rPr/>
      </w:pPr>
      <w:r>
        <w:rPr/>
        <w:t>7. Biological Interpretation</w:t>
      </w:r>
    </w:p>
    <w:p>
      <w:pPr>
        <w:pStyle w:val="Normal"/>
        <w:jc w:val="both"/>
        <w:rPr/>
      </w:pPr>
      <w:r>
        <w:rPr/>
        <w:t>Genes with FDR &lt; 0.05 are considered significantly disease-associated. The per-cluster tests reveal whether these associations are cell-type-specific or shared across multiple clusters. This helps differentiate systemic disease effects from localized transcriptomic changes.</w:t>
      </w:r>
    </w:p>
    <w:p>
      <w:pPr>
        <w:pStyle w:val="Heading2"/>
        <w:jc w:val="both"/>
        <w:rPr/>
      </w:pPr>
      <w:r>
        <w:rPr/>
        <w:t>8. Advantages Over Alternative Methods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val="false"/>
              <w:spacing w:before="0" w:after="200"/>
              <w:jc w:val="both"/>
              <w:rPr/>
            </w:pPr>
            <w:r>
              <w:rPr/>
              <w:t>Method</w:t>
            </w:r>
          </w:p>
        </w:tc>
        <w:tc>
          <w:tcPr>
            <w:tcW w:w="2880" w:type="dxa"/>
            <w:tcBorders/>
          </w:tcPr>
          <w:p>
            <w:pPr>
              <w:pStyle w:val="Normal"/>
              <w:widowControl w:val="false"/>
              <w:spacing w:before="0" w:after="200"/>
              <w:jc w:val="both"/>
              <w:rPr/>
            </w:pPr>
            <w:r>
              <w:rPr/>
              <w:t>Drawback</w:t>
            </w:r>
          </w:p>
        </w:tc>
        <w:tc>
          <w:tcPr>
            <w:tcW w:w="2880" w:type="dxa"/>
            <w:tcBorders/>
          </w:tcPr>
          <w:p>
            <w:pPr>
              <w:pStyle w:val="Normal"/>
              <w:widowControl w:val="false"/>
              <w:spacing w:before="0" w:after="200"/>
              <w:jc w:val="both"/>
              <w:rPr/>
            </w:pPr>
            <w:r>
              <w:rPr/>
              <w:t>Why Kruskal–Wallis is Better</w:t>
            </w:r>
          </w:p>
        </w:tc>
      </w:tr>
      <w:tr>
        <w:trPr/>
        <w:tc>
          <w:tcPr>
            <w:tcW w:w="2880" w:type="dxa"/>
            <w:tcBorders/>
          </w:tcPr>
          <w:p>
            <w:pPr>
              <w:pStyle w:val="Normal"/>
              <w:widowControl w:val="false"/>
              <w:spacing w:before="0" w:after="200"/>
              <w:jc w:val="both"/>
              <w:rPr/>
            </w:pPr>
            <w:r>
              <w:rPr/>
              <w:t>One-way ANOVA</w:t>
            </w:r>
          </w:p>
        </w:tc>
        <w:tc>
          <w:tcPr>
            <w:tcW w:w="2880" w:type="dxa"/>
            <w:tcBorders/>
          </w:tcPr>
          <w:p>
            <w:pPr>
              <w:pStyle w:val="Normal"/>
              <w:widowControl w:val="false"/>
              <w:spacing w:before="0" w:after="200"/>
              <w:jc w:val="both"/>
              <w:rPr/>
            </w:pPr>
            <w:r>
              <w:rPr/>
              <w:t>Assumes normality and equal variances</w:t>
            </w:r>
          </w:p>
        </w:tc>
        <w:tc>
          <w:tcPr>
            <w:tcW w:w="2880" w:type="dxa"/>
            <w:tcBorders/>
          </w:tcPr>
          <w:p>
            <w:pPr>
              <w:pStyle w:val="Normal"/>
              <w:widowControl w:val="false"/>
              <w:spacing w:before="0" w:after="200"/>
              <w:jc w:val="both"/>
              <w:rPr/>
            </w:pPr>
            <w:r>
              <w:rPr/>
              <w:t>Kruskal–Wallis is distribution-free and rank-based</w:t>
            </w:r>
          </w:p>
        </w:tc>
      </w:tr>
      <w:tr>
        <w:trPr/>
        <w:tc>
          <w:tcPr>
            <w:tcW w:w="2880" w:type="dxa"/>
            <w:tcBorders/>
          </w:tcPr>
          <w:p>
            <w:pPr>
              <w:pStyle w:val="Normal"/>
              <w:widowControl w:val="false"/>
              <w:spacing w:before="0" w:after="200"/>
              <w:jc w:val="both"/>
              <w:rPr/>
            </w:pPr>
            <w:r>
              <w:rPr/>
              <w:t>t-test / Mann–Whitney</w:t>
            </w:r>
          </w:p>
        </w:tc>
        <w:tc>
          <w:tcPr>
            <w:tcW w:w="2880" w:type="dxa"/>
            <w:tcBorders/>
          </w:tcPr>
          <w:p>
            <w:pPr>
              <w:pStyle w:val="Normal"/>
              <w:widowControl w:val="false"/>
              <w:spacing w:before="0" w:after="200"/>
              <w:jc w:val="both"/>
              <w:rPr/>
            </w:pPr>
            <w:r>
              <w:rPr/>
              <w:t>Limited to two groups</w:t>
            </w:r>
          </w:p>
        </w:tc>
        <w:tc>
          <w:tcPr>
            <w:tcW w:w="2880" w:type="dxa"/>
            <w:tcBorders/>
          </w:tcPr>
          <w:p>
            <w:pPr>
              <w:pStyle w:val="Normal"/>
              <w:widowControl w:val="false"/>
              <w:spacing w:before="0" w:after="200"/>
              <w:jc w:val="both"/>
              <w:rPr/>
            </w:pPr>
            <w:r>
              <w:rPr/>
              <w:t>Kruskal–Wallis handles &gt;2 diseases simultaneously</w:t>
            </w:r>
          </w:p>
        </w:tc>
      </w:tr>
      <w:tr>
        <w:trPr/>
        <w:tc>
          <w:tcPr>
            <w:tcW w:w="2880" w:type="dxa"/>
            <w:tcBorders/>
          </w:tcPr>
          <w:p>
            <w:pPr>
              <w:pStyle w:val="Normal"/>
              <w:widowControl w:val="false"/>
              <w:spacing w:before="0" w:after="200"/>
              <w:jc w:val="both"/>
              <w:rPr/>
            </w:pPr>
            <w:r>
              <w:rPr/>
              <w:t>Linear Models</w:t>
            </w:r>
          </w:p>
        </w:tc>
        <w:tc>
          <w:tcPr>
            <w:tcW w:w="2880" w:type="dxa"/>
            <w:tcBorders/>
          </w:tcPr>
          <w:p>
            <w:pPr>
              <w:pStyle w:val="Normal"/>
              <w:widowControl w:val="false"/>
              <w:spacing w:before="0" w:after="200"/>
              <w:jc w:val="both"/>
              <w:rPr/>
            </w:pPr>
            <w:r>
              <w:rPr/>
              <w:t>Sensitive to outliers and assumes linearity</w:t>
            </w:r>
          </w:p>
        </w:tc>
        <w:tc>
          <w:tcPr>
            <w:tcW w:w="2880" w:type="dxa"/>
            <w:tcBorders/>
          </w:tcPr>
          <w:p>
            <w:pPr>
              <w:pStyle w:val="Normal"/>
              <w:widowControl w:val="false"/>
              <w:spacing w:before="0" w:after="200"/>
              <w:jc w:val="both"/>
              <w:rPr/>
            </w:pPr>
            <w:r>
              <w:rPr/>
              <w:t>Non-parametric ranks reduce such sensitivity</w:t>
            </w:r>
          </w:p>
        </w:tc>
      </w:tr>
      <w:tr>
        <w:trPr/>
        <w:tc>
          <w:tcPr>
            <w:tcW w:w="2880" w:type="dxa"/>
            <w:tcBorders/>
          </w:tcPr>
          <w:p>
            <w:pPr>
              <w:pStyle w:val="Normal"/>
              <w:widowControl w:val="false"/>
              <w:spacing w:before="0" w:after="200"/>
              <w:jc w:val="both"/>
              <w:rPr/>
            </w:pPr>
            <w:r>
              <w:rPr/>
              <w:t>DESeq2 / edgeR</w:t>
            </w:r>
          </w:p>
        </w:tc>
        <w:tc>
          <w:tcPr>
            <w:tcW w:w="2880" w:type="dxa"/>
            <w:tcBorders/>
          </w:tcPr>
          <w:p>
            <w:pPr>
              <w:pStyle w:val="Normal"/>
              <w:widowControl w:val="false"/>
              <w:spacing w:before="0" w:after="200"/>
              <w:jc w:val="both"/>
              <w:rPr/>
            </w:pPr>
            <w:r>
              <w:rPr/>
              <w:t>Model count distributions (negative binomial), not sparse single-cell data</w:t>
            </w:r>
          </w:p>
        </w:tc>
        <w:tc>
          <w:tcPr>
            <w:tcW w:w="2880" w:type="dxa"/>
            <w:tcBorders/>
          </w:tcPr>
          <w:p>
            <w:pPr>
              <w:pStyle w:val="Normal"/>
              <w:widowControl w:val="false"/>
              <w:spacing w:before="0" w:after="200"/>
              <w:jc w:val="both"/>
              <w:rPr/>
            </w:pPr>
            <w:r>
              <w:rPr/>
              <w:t>Kruskal–Wallis operates directly on normalized continuous data</w:t>
            </w:r>
          </w:p>
        </w:tc>
      </w:tr>
    </w:tbl>
    <w:p>
      <w:pPr>
        <w:pStyle w:val="Heading2"/>
        <w:jc w:val="both"/>
        <w:rPr/>
      </w:pPr>
      <w:r>
        <w:rPr/>
      </w:r>
    </w:p>
    <w:p>
      <w:pPr>
        <w:pStyle w:val="Heading2"/>
        <w:jc w:val="both"/>
        <w:rPr/>
      </w:pPr>
      <w:r>
        <w:rPr/>
        <w:t>9. Conclusion</w:t>
      </w:r>
    </w:p>
    <w:p>
      <w:pPr>
        <w:pStyle w:val="Normal"/>
        <w:jc w:val="both"/>
        <w:rPr/>
      </w:pPr>
      <w:r>
        <w:rPr/>
        <w:t>The Kruskal–Wallis test is statistically robust and biologically appropriate for analyzing disease-associated gene expression in single-cell data. It accommodates non-normal distributions, varying group sizes, and outliers. By performing both global and cluster-specific tests, this approach captures both systemic and cell-type-specific disease effects, offering a comprehensive understanding of disease mechanisms.</w:t>
      </w:r>
    </w:p>
    <w:p>
      <w:pPr>
        <w:pStyle w:val="Heading2"/>
        <w:jc w:val="both"/>
        <w:rPr/>
      </w:pPr>
      <w:r>
        <w:rPr/>
      </w:r>
    </w:p>
    <w:p>
      <w:pPr>
        <w:pStyle w:val="Heading2"/>
        <w:jc w:val="both"/>
        <w:rPr/>
      </w:pPr>
      <w:r>
        <w:rPr/>
        <w:t>10. References</w:t>
      </w:r>
    </w:p>
    <w:p>
      <w:pPr>
        <w:pStyle w:val="Normal"/>
        <w:spacing w:before="0" w:after="200"/>
        <w:jc w:val="both"/>
        <w:rPr/>
      </w:pPr>
      <w:r>
        <w:rPr/>
        <w:t>1. Kruskal WH, Wallis WA. Use of Ranks in One-Criterion Variance Analysis. J Am Stat Assoc. 1952;47(260):583–621.</w:t>
        <w:br/>
        <w:t>2. Wolf FA, Angerer P, Theis FJ. Scanpy: large-scale single-cell gene expression data analysis. Genome Biol. 2018;19(1):15.</w:t>
        <w:br/>
        <w:t>3. Virtanen P et al. SciPy 1.0: Fundamental Algorithms for Scientific Computing in Python. Nat Methods. 2020;17(3):261–272.</w:t>
        <w:br/>
        <w:t>4. Love MI, Huber W, Anders S. Moderated estimation of fold change and dispersion for RNA-seq data with DESeq2. Genome Biol. 2014;15(12):550.</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6"/>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3</Pages>
  <Words>736</Words>
  <Characters>4507</Characters>
  <CharactersWithSpaces>5191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2025-11-03T16:42:15Z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