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 ВВЕДЕНИЕ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 ОБЩИЕ СВЕДЕНИЯ О ТЕХНОЛОГИИ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 ТЕХНИЧЕСКИЙ УРОВЕНЬ, ПАТЕНТОСПОСОБНОСТЬ И ПАТЕНТНАЯ ЧИСТОТА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 ХАРАКТЕРИСТИКА ИСХОДНОГО СЫРЬЯ, ПРОДУКТОВ,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 ТЕХНИЧЕСКАЯ ХАРАКТЕРИСТИКА ОТХОДОВ И ОТРАБОТАННОГО ВОЗДУХА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 ТЕХНОЛОГИЯ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 УСЛОВИЯ ПРОВЕДЕНИЯ ПРОЦЕССА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8 НОРМЫ РАСХОДА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 МАТЕРИАЛЬНЫЙ И ТЕПЛОВОЙ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9.1 Исходные данные для расчета материального баланса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Число часов работы в году: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2. Содержание сернистых соединений в СУГ до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общая меркаптановая сера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Содержание сернистых соединений в СУГ после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общее содержание меркаптановой серы, не более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диметилдисульфида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диэтилдисульфида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общей серы (не более)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Диапазон устойчивой работы установки None%÷None%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материального баланса произведен из условий работы установки по сырью, равного None или None кг/ч.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9.2 Расчетный материальный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Результаты расчета материального баланса технологии «ДЕМЕРУС» представлены в табл. None, схема материальных потоков блока очистки СУГ по технологии «ДЕМЕРУС» - на рис. None.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частоты замены 5% раствора щелочи в емкости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Взаимодействие щелочи с углекислым газом протекает по следующей реакции: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NaOH + CO2 → NaHCO3;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Расход воздуха – None нм3/ч, содержание None – None % (None кг/ч).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Количество NaOH для полного превращения None: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None (г/моль) / None (г/моль) = None (кг/ч),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 None – молярная масса None, None – молярная масса None.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Принимаем, что в реакцию вступит 4% NaOH из 5%: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5% / 4% = None (кг/ч)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необходимый расход NaOH – None кг/ч. Расход 5% раствора NaOH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None / None = None кг/ч ⸱ None = None кг/год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Объем емкости None – None, степень заполнения – None. Следовательно, емкость None вмещает: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⸱ None = None м3 (None кг раствора NaOH).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Частота замены раствора для обеспечения необходимого расхода NaOH: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/ None ⁓ None раз в год.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9.3 Тепловой баланс стадии экстракции меркаптанов в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Тепловой эффект взаимодействия этилмеркаптана со щелочью составляет None кДж/моль [14]. Для расчетов примем тепловой эффект взаимодействия метилмеркаптана со щелочью равным тепловому эффекту взаимодействия этилмеркаптана со щелочью.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Общее число молей меркаптанов, вступивших в реакцию со щелочью, составляет None моль/час: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кг/ч ⸱ (None/None) (кг/моль) = None (моль/час)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Тепловой эффект реакции взаимодействия меркаптанов со щелочью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Q1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Теплота реакции взаимодействия сероводорода со щелочью составляет – None кДж/моль. Общее число молей сероводорода, вступивших в реакцию со щелочью, составляет: None моль/час (None кг/ч⸱(None/None)(кг/моль) = None).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Q2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Количество теплоты, приходящее с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Q3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СУГ, кДж/кг °С;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Количество теплоты, приходящее со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Q4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10%-ного раствора щелочи, кДж/кг 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5. Теплопотери в колонне None Q5 принимаем по нормируемой плотности теплового потока qL в соответствии СП на тепловую изоляцию: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qL= None Вт/м;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Q5= None Вт/м ⸱ None м = None Вт = None кДж/ч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6. Количество теплоты, уносимое с очищенным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Q6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7. Количество теплоты, уносимое с насыщенным меркаптидами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Q7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Решая уравнение Q1 + Q2 + Q3 + Q4 - Q5 = Q6 + Q7 относительно tвых, получим: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tвых= (None + None + None + None - None) / (None  + None) = None°С.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при смешении раствора щелочи с температурой None°С с СУГ, имеющим температуру None°С, температура СУГ в колонне None c учетом теплопотерь повысится на None℃ до None °С.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 на входе в колонну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 на входе в колонну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Очищенный СУГ из верха колонны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99.5034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99.9632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99.9632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44.5613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0.2749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2.2281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0.0138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2.2281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0.0138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28.3675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0.1750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2.8368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0.0176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2.8368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0.0176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0.2269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0.0681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0.0681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0.0004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0.4053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0.9078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0.0056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0.6355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0.0039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0.6355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0.0039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5.4952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0.0339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Азот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Кислород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0.3728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16210.0000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16135.4316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16135.4316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 на входе в колонну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 на входе в колонну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Очищенный СУГ из верха колонны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99.5034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99.9632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99.9632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44.5613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0.2749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2.2281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0.0138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2.2281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0.0138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28.3675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0.1750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2.8368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0.0176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2.8368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0.0176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0.2269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0.0681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0.0681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0.0004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0.4053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0.9078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0.0056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0.6355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0.0039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0.6355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0.0039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5.4952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0.0339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Азот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Кислород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СО2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0.3728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16210.0000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16135.4316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16135.4316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