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(Days 1–14) — Foundation + Intake Vertical Slice</w:t>
      </w:r>
    </w:p>
    <w:p>
      <w:r>
        <w:t>Goal: Deployable multi‑tenant shell + inbound call → structured lead working.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Monorepo + CI/CD + environments</w:t>
      </w:r>
    </w:p>
    <w:p>
      <w:pPr>
        <w:pStyle w:val="ListBullet"/>
      </w:pPr>
      <w:r>
        <w:t>Supabase schema: accounts, users, leads, calls</w:t>
      </w:r>
    </w:p>
    <w:p>
      <w:pPr>
        <w:pStyle w:val="ListBullet"/>
      </w:pPr>
      <w:r>
        <w:t>Auth + RLS enforcement</w:t>
      </w:r>
    </w:p>
    <w:p>
      <w:pPr>
        <w:pStyle w:val="ListBullet"/>
      </w:pPr>
      <w:r>
        <w:t>Twilio webhook intake</w:t>
      </w:r>
    </w:p>
    <w:p>
      <w:pPr>
        <w:pStyle w:val="ListBullet"/>
      </w:pPr>
      <w:r>
        <w:t>Transcript storage + extraction pipeline</w:t>
      </w:r>
    </w:p>
    <w:p>
      <w:pPr>
        <w:pStyle w:val="ListBullet"/>
      </w:pPr>
      <w:r>
        <w:t>Human review UI</w:t>
      </w:r>
    </w:p>
    <w:p>
      <w:pPr>
        <w:pStyle w:val="Heading2"/>
      </w:pPr>
      <w:r>
        <w:t>QA Targets</w:t>
      </w:r>
    </w:p>
    <w:p>
      <w:pPr>
        <w:pStyle w:val="ListBullet"/>
      </w:pPr>
      <w:r>
        <w:t>Unit tests for tenant isolation</w:t>
      </w:r>
    </w:p>
    <w:p>
      <w:pPr>
        <w:pStyle w:val="ListBullet"/>
      </w:pPr>
      <w:r>
        <w:t>Integration test: webhook → DB write</w:t>
      </w:r>
    </w:p>
    <w:p>
      <w:pPr>
        <w:pStyle w:val="ListBullet"/>
      </w:pPr>
      <w:r>
        <w:t>Smoke deploy test</w:t>
      </w:r>
    </w:p>
    <w:p>
      <w:pPr>
        <w:pStyle w:val="Heading2"/>
      </w:pPr>
      <w:r>
        <w:t>Demo Outcome</w:t>
      </w:r>
    </w:p>
    <w:p>
      <w:pPr>
        <w:pStyle w:val="ListBullet"/>
      </w:pPr>
      <w:r>
        <w:t>Phone call becomes editable structured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