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2 (Days 15–28) — Durable Workflows + Missed Call Automation</w:t>
      </w:r>
    </w:p>
    <w:p>
      <w:r>
        <w:t>Goal: Temporal workflows control intake lifecycle.</w:t>
      </w:r>
    </w:p>
    <w:p>
      <w:pPr>
        <w:pStyle w:val="Heading2"/>
      </w:pPr>
      <w:r>
        <w:t>Engineering Targets</w:t>
      </w:r>
    </w:p>
    <w:p>
      <w:pPr>
        <w:pStyle w:val="ListBullet"/>
      </w:pPr>
      <w:r>
        <w:t>Temporal setup + worker</w:t>
      </w:r>
    </w:p>
    <w:p>
      <w:pPr>
        <w:pStyle w:val="ListBullet"/>
      </w:pPr>
      <w:r>
        <w:t>InboundLeadWorkflow</w:t>
      </w:r>
    </w:p>
    <w:p>
      <w:pPr>
        <w:pStyle w:val="ListBullet"/>
      </w:pPr>
      <w:r>
        <w:t>MissedCallWorkflow</w:t>
      </w:r>
    </w:p>
    <w:p>
      <w:pPr>
        <w:pStyle w:val="ListBullet"/>
      </w:pPr>
      <w:r>
        <w:t>Workflow debug UI</w:t>
      </w:r>
    </w:p>
    <w:p>
      <w:pPr>
        <w:pStyle w:val="ListBullet"/>
      </w:pPr>
      <w:r>
        <w:t>Idempotency + retry policies</w:t>
      </w:r>
    </w:p>
    <w:p>
      <w:pPr>
        <w:pStyle w:val="Heading2"/>
      </w:pPr>
      <w:r>
        <w:t>QA Targets</w:t>
      </w:r>
    </w:p>
    <w:p>
      <w:pPr>
        <w:pStyle w:val="ListBullet"/>
      </w:pPr>
      <w:r>
        <w:t>Workflow chaos testing</w:t>
      </w:r>
    </w:p>
    <w:p>
      <w:pPr>
        <w:pStyle w:val="ListBullet"/>
      </w:pPr>
      <w:r>
        <w:t>Duplicate webhook regression test</w:t>
      </w:r>
    </w:p>
    <w:p>
      <w:pPr>
        <w:pStyle w:val="Heading2"/>
      </w:pPr>
      <w:r>
        <w:t>Demo Outcome</w:t>
      </w:r>
    </w:p>
    <w:p>
      <w:pPr>
        <w:pStyle w:val="ListBullet"/>
      </w:pPr>
      <w:r>
        <w:t>Missed calls auto‑text reliably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