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3 (Days 29–42) — Follow‑ups + Messaging Layer</w:t>
      </w:r>
    </w:p>
    <w:p>
      <w:r>
        <w:t>Goal: Lead → confirmation → reminder → review automation loop.</w:t>
      </w:r>
    </w:p>
    <w:p>
      <w:pPr>
        <w:pStyle w:val="Heading2"/>
      </w:pPr>
      <w:r>
        <w:t>Engineering Targets</w:t>
      </w:r>
    </w:p>
    <w:p>
      <w:pPr>
        <w:pStyle w:val="ListBullet"/>
      </w:pPr>
      <w:r>
        <w:t>Notification service (Twilio + Resend)</w:t>
      </w:r>
    </w:p>
    <w:p>
      <w:pPr>
        <w:pStyle w:val="ListBullet"/>
      </w:pPr>
      <w:r>
        <w:t>ConfirmationWorkflow</w:t>
      </w:r>
    </w:p>
    <w:p>
      <w:pPr>
        <w:pStyle w:val="ListBullet"/>
      </w:pPr>
      <w:r>
        <w:t>ReminderWorkflow</w:t>
      </w:r>
    </w:p>
    <w:p>
      <w:pPr>
        <w:pStyle w:val="ListBullet"/>
      </w:pPr>
      <w:r>
        <w:t>Message timeline UI</w:t>
      </w:r>
    </w:p>
    <w:p>
      <w:pPr>
        <w:pStyle w:val="ListBullet"/>
      </w:pPr>
      <w:r>
        <w:t>Basic metrics dashboard</w:t>
      </w:r>
    </w:p>
    <w:p>
      <w:pPr>
        <w:pStyle w:val="Heading2"/>
      </w:pPr>
      <w:r>
        <w:t>QA Targets</w:t>
      </w:r>
    </w:p>
    <w:p>
      <w:pPr>
        <w:pStyle w:val="ListBullet"/>
      </w:pPr>
      <w:r>
        <w:t>Opt‑out compliance testing</w:t>
      </w:r>
    </w:p>
    <w:p>
      <w:pPr>
        <w:pStyle w:val="ListBullet"/>
      </w:pPr>
      <w:r>
        <w:t>Notification retry regression suite</w:t>
      </w:r>
    </w:p>
    <w:p>
      <w:pPr>
        <w:pStyle w:val="Heading2"/>
      </w:pPr>
      <w:r>
        <w:t>Demo Outcome</w:t>
      </w:r>
    </w:p>
    <w:p>
      <w:pPr>
        <w:pStyle w:val="ListBullet"/>
      </w:pPr>
      <w:r>
        <w:t>Complete automated follow‑up 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