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4 (Days 43–56) — Scheduling Engine</w:t>
      </w:r>
    </w:p>
    <w:p>
      <w:r>
        <w:t>Goal: Deterministic slot recommendations + booking durability.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Technician + availability schema</w:t>
      </w:r>
    </w:p>
    <w:p>
      <w:pPr>
        <w:pStyle w:val="ListBullet"/>
      </w:pPr>
      <w:r>
        <w:t>Scheduling rules engine</w:t>
      </w:r>
    </w:p>
    <w:p>
      <w:pPr>
        <w:pStyle w:val="ListBullet"/>
      </w:pPr>
      <w:r>
        <w:t>Recommendation scoring</w:t>
      </w:r>
    </w:p>
    <w:p>
      <w:pPr>
        <w:pStyle w:val="ListBullet"/>
      </w:pPr>
      <w:r>
        <w:t>SchedulingWorkflow</w:t>
      </w:r>
    </w:p>
    <w:p>
      <w:pPr>
        <w:pStyle w:val="ListBullet"/>
      </w:pPr>
      <w:r>
        <w:t>Conflict prevention locks</w:t>
      </w:r>
    </w:p>
    <w:p>
      <w:pPr>
        <w:pStyle w:val="Heading2"/>
      </w:pPr>
      <w:r>
        <w:t>QA Targets</w:t>
      </w:r>
    </w:p>
    <w:p>
      <w:pPr>
        <w:pStyle w:val="ListBullet"/>
      </w:pPr>
      <w:r>
        <w:t>Scheduling scenario matrix tests</w:t>
      </w:r>
    </w:p>
    <w:p>
      <w:pPr>
        <w:pStyle w:val="ListBullet"/>
      </w:pPr>
      <w:r>
        <w:t>Double‑booking integration tests</w:t>
      </w:r>
    </w:p>
    <w:p>
      <w:pPr>
        <w:pStyle w:val="Heading2"/>
      </w:pPr>
      <w:r>
        <w:t>Demo Outcome</w:t>
      </w:r>
    </w:p>
    <w:p>
      <w:pPr>
        <w:pStyle w:val="ListBullet"/>
      </w:pPr>
      <w:r>
        <w:t>Dispatcher confirms suggested booking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