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5 (Days 57–70) — Pricing + Retrieval Memory</w:t>
      </w:r>
    </w:p>
    <w:p>
      <w:r>
        <w:t>Goal: Safe estimate generation + tenant knowledge grounding.</w:t>
      </w:r>
    </w:p>
    <w:p>
      <w:pPr>
        <w:pStyle w:val="Heading2"/>
      </w:pPr>
      <w:r>
        <w:t>Engineering Targets</w:t>
      </w:r>
    </w:p>
    <w:p>
      <w:pPr>
        <w:pStyle w:val="ListBullet"/>
      </w:pPr>
      <w:r>
        <w:t>Price rules engine + UI</w:t>
      </w:r>
    </w:p>
    <w:p>
      <w:pPr>
        <w:pStyle w:val="ListBullet"/>
      </w:pPr>
      <w:r>
        <w:t>EstimateWorkflow</w:t>
      </w:r>
    </w:p>
    <w:p>
      <w:pPr>
        <w:pStyle w:val="ListBullet"/>
      </w:pPr>
      <w:r>
        <w:t>KB upload + chunking</w:t>
      </w:r>
    </w:p>
    <w:p>
      <w:pPr>
        <w:pStyle w:val="ListBullet"/>
      </w:pPr>
      <w:r>
        <w:t>Embedding + retrieval service</w:t>
      </w:r>
    </w:p>
    <w:p>
      <w:pPr>
        <w:pStyle w:val="ListBullet"/>
      </w:pPr>
      <w:r>
        <w:t>Citation logging</w:t>
      </w:r>
    </w:p>
    <w:p>
      <w:pPr>
        <w:pStyle w:val="Heading2"/>
      </w:pPr>
      <w:r>
        <w:t>QA Targets</w:t>
      </w:r>
    </w:p>
    <w:p>
      <w:pPr>
        <w:pStyle w:val="ListBullet"/>
      </w:pPr>
      <w:r>
        <w:t>Quote policy compliance tests</w:t>
      </w:r>
    </w:p>
    <w:p>
      <w:pPr>
        <w:pStyle w:val="ListBullet"/>
      </w:pPr>
      <w:r>
        <w:t>Cross‑tenant retrieval leakage tests</w:t>
      </w:r>
    </w:p>
    <w:p>
      <w:pPr>
        <w:pStyle w:val="Heading2"/>
      </w:pPr>
      <w:r>
        <w:t>Demo Outcome</w:t>
      </w:r>
    </w:p>
    <w:p>
      <w:pPr>
        <w:pStyle w:val="ListBullet"/>
      </w:pPr>
      <w:r>
        <w:t>Grounded AI estimate explanation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