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6 (Days 71–80) — Hardening + Billing + Beta Launch</w:t>
      </w:r>
    </w:p>
    <w:p>
      <w:r>
        <w:t>Goal: Production survivability + first paying customers.</w:t>
      </w:r>
    </w:p>
    <w:p>
      <w:pPr>
        <w:pStyle w:val="Heading2"/>
      </w:pPr>
      <w:r>
        <w:t>Engineering Targets</w:t>
      </w:r>
    </w:p>
    <w:p>
      <w:pPr>
        <w:pStyle w:val="ListBullet"/>
      </w:pPr>
      <w:r>
        <w:t>Eval datasets + nightly runner</w:t>
      </w:r>
    </w:p>
    <w:p>
      <w:pPr>
        <w:pStyle w:val="ListBullet"/>
      </w:pPr>
      <w:r>
        <w:t>Prompt versioning UI</w:t>
      </w:r>
    </w:p>
    <w:p>
      <w:pPr>
        <w:pStyle w:val="ListBullet"/>
      </w:pPr>
      <w:r>
        <w:t>Stripe billing + usage metering</w:t>
      </w:r>
    </w:p>
    <w:p>
      <w:pPr>
        <w:pStyle w:val="ListBullet"/>
      </w:pPr>
      <w:r>
        <w:t>Onboarding wizard</w:t>
      </w:r>
    </w:p>
    <w:p>
      <w:pPr>
        <w:pStyle w:val="ListBullet"/>
      </w:pPr>
      <w:r>
        <w:t>Support/admin tools</w:t>
      </w:r>
    </w:p>
    <w:p>
      <w:pPr>
        <w:pStyle w:val="Heading2"/>
      </w:pPr>
      <w:r>
        <w:t>QA Targets</w:t>
      </w:r>
    </w:p>
    <w:p>
      <w:pPr>
        <w:pStyle w:val="ListBullet"/>
      </w:pPr>
      <w:r>
        <w:t>Full regression cycle</w:t>
      </w:r>
    </w:p>
    <w:p>
      <w:pPr>
        <w:pStyle w:val="ListBullet"/>
      </w:pPr>
      <w:r>
        <w:t>Release smoke checklist</w:t>
      </w:r>
    </w:p>
    <w:p>
      <w:pPr>
        <w:pStyle w:val="Heading2"/>
      </w:pPr>
      <w:r>
        <w:t>Demo Outcome</w:t>
      </w:r>
    </w:p>
    <w:p>
      <w:pPr>
        <w:pStyle w:val="ListBullet"/>
      </w:pPr>
      <w:r>
        <w:t>2–5 beta customers live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