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4"/>
        </w:rPr>
        <w:t>単管・バンドルのクオリティ定義整理</w:t>
      </w:r>
    </w:p>
    <w:p>
      <w:pPr>
        <w:jc w:val="center"/>
      </w:pPr>
      <w:r>
        <w:rPr>
          <w:rFonts w:ascii="Yu Gothic" w:hAnsi="Yu Gothic" w:eastAsia="Yu Gothic"/>
          <w:sz w:val="21"/>
        </w:rPr>
        <w:t>T&amp;M報告書転記クオリティとNFI COBRA Xlocの見え方の違い</w:t>
      </w:r>
    </w:p>
    <w:p>
      <w:pPr>
        <w:pStyle w:val="Heading1"/>
      </w:pPr>
      <w:r>
        <w:rPr>
          <w:rFonts w:ascii="Yu Gothic" w:hAnsi="Yu Gothic" w:eastAsia="Yu Gothic"/>
        </w:rPr>
        <w:t>1. 結論</w:t>
      </w:r>
    </w:p>
    <w:p>
      <w:pPr>
        <w:pStyle w:val="ListBullet"/>
        <w:spacing w:after="20"/>
      </w:pPr>
      <w:r>
        <w:rPr>
          <w:rFonts w:ascii="Yu Gothic" w:hAnsi="Yu Gothic" w:eastAsia="Yu Gothic"/>
          <w:sz w:val="21"/>
        </w:rPr>
        <w:t>単管T&amp;M Table9〜12では、報告書から転記したクオリティはほぼ負側〜0近傍であり、全点が x &lt;= 0.05 に入る。したがって、使用中の単管データは高クオリティ領域のデータとは扱わない。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21"/>
        </w:rPr>
        <w:t>バンドル108/161/164では、実験CHF条件から計算した実験基準x_eqと、NFI報告書のCOBRA最小DNBR位置Xlocでクオリティ帯の見え方が異なる。特に161/164で差が大きい。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21"/>
        </w:rPr>
        <w:t>今後「高クオリティ」「低クオリティ」と言う場合は、実験基準x_eqなのか、NFI COBRA Xlocなのかを必ず明示する。</w:t>
      </w:r>
    </w:p>
    <w:p>
      <w:pPr>
        <w:pStyle w:val="Heading1"/>
      </w:pPr>
      <w:r>
        <w:rPr>
          <w:rFonts w:ascii="Yu Gothic" w:hAnsi="Yu Gothic" w:eastAsia="Yu Gothic"/>
        </w:rPr>
        <w:t>2. この資料でのクオリティ定義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対象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使うクオリティ</w:t>
            </w:r>
          </w:p>
        </w:tc>
        <w:tc>
          <w:tcPr>
            <w:tcW w:type="dxa" w:w="460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意味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主な使い方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単管 T&amp;M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x_Mes（報告書転記値）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T&amp;M報告書に記載された実験値側のクオリティ。qM/qPから再計算したものではない。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単管データが低クオリティDNB領域か確認する。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バンドル 櫻井側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実験基準x_eq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実験CHF条件から熱収支で計算した熱平衡クオリティ。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実験状態を整理する横軸として使う。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バンドル NFI側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COBRA Xloc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NFI報告書のCOBRA-EN出力。最小DNBR位置の局所熱平衡クオリティ。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COBRAが危険と判定した位置の状態量として見る。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3. 数値で見た整理</w:t>
      </w:r>
    </w:p>
    <w:p>
      <w:r>
        <w:rPr>
          <w:rFonts w:ascii="Yu Gothic" w:hAnsi="Yu Gothic" w:eastAsia="Yu Gothic"/>
          <w:sz w:val="20"/>
        </w:rPr>
        <w:t>バンドル側では、108は両定義で近いが、161/164ではNFI Xlocが実験基準x_eqより正側に出る。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試験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実験基準x_eq 平均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NFI Xloc 平均</w:t>
            </w:r>
          </w:p>
        </w:tc>
        <w:tc>
          <w:tcPr>
            <w:tcW w:type="dxa" w:w="691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読み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108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-0.014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-0.040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両者の差は比較的小さい。低クオリティ〜0近傍として見える。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161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-0.082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+0.149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実験基準では負側を含むが、NFI Xlocでは明確に正側。認識差が大きい。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164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-0.155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+0.006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実験基準では負側が多い。NFI Xlocでは0近傍〜正側も含む。</w:t>
            </w:r>
          </w:p>
        </w:tc>
      </w:tr>
    </w:tbl>
    <w:p>
      <w:r>
        <w:rPr>
          <w:rFonts w:ascii="Yu Gothic" w:hAnsi="Yu Gothic" w:eastAsia="Yu Gothic"/>
          <w:sz w:val="20"/>
        </w:rPr>
        <w:t>単管側では、T&amp;M報告書転記クオリティは全体として負側〜0近傍である。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86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Table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平均 x_report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最大 x_report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x &lt;= 0.05 の割合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読み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-0.069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-0.047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100%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全点が負側。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-0.070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-0.035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100%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全点が負側。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-0.052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+0.001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100%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1点だけほぼ0の正側。高クオリティではない。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-0.066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-0.004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100%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全点が負側。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4. 使うべき図と説明文</w:t>
      </w:r>
    </w:p>
    <w:p>
      <w:r>
        <w:rPr>
          <w:rFonts w:ascii="Yu Gothic" w:hAnsi="Yu Gothic" w:eastAsia="Yu Gothic"/>
          <w:b/>
          <w:sz w:val="20"/>
        </w:rPr>
        <w:t>推奨図の優先順位</w:t>
      </w:r>
    </w:p>
    <w:p>
      <w:pPr>
        <w:pStyle w:val="ListBullet"/>
        <w:spacing w:after="0"/>
      </w:pPr>
      <w:r>
        <w:rPr>
          <w:rFonts w:ascii="Yu Gothic" w:hAnsi="Yu Gothic" w:eastAsia="Yu Gothic"/>
          <w:sz w:val="19"/>
        </w:rPr>
        <w:t>必須図1：バンドル「実験基準x_eq vs NFI COBRA Xloc」。認識差を最も直接的に示す。</w:t>
      </w:r>
    </w:p>
    <w:p>
      <w:pPr>
        <w:pStyle w:val="ListBullet"/>
        <w:spacing w:after="0"/>
      </w:pPr>
      <w:r>
        <w:rPr>
          <w:rFonts w:ascii="Yu Gothic" w:hAnsi="Yu Gothic" w:eastAsia="Yu Gothic"/>
          <w:sz w:val="19"/>
        </w:rPr>
        <w:t>必須図2：バンドル「試験別のクオリティ分布」。108/161/164で、実験基準とNFI Xlocの分布がどう違うかを示す。</w:t>
      </w:r>
    </w:p>
    <w:p>
      <w:pPr>
        <w:pStyle w:val="ListBullet"/>
        <w:spacing w:after="0"/>
      </w:pPr>
      <w:r>
        <w:rPr>
          <w:rFonts w:ascii="Yu Gothic" w:hAnsi="Yu Gothic" w:eastAsia="Yu Gothic"/>
          <w:sz w:val="19"/>
        </w:rPr>
        <w:t>補足図3：単管「T&amp;M報告書転記クオリティ vs Tsub」。単管側は大Tsubでも高クオリティではないことを示す。</w:t>
      </w:r>
    </w:p>
    <w:p>
      <w:pPr>
        <w:pStyle w:val="ListBullet"/>
        <w:spacing w:after="0"/>
      </w:pPr>
      <w:r>
        <w:rPr>
          <w:rFonts w:ascii="Yu Gothic" w:hAnsi="Yu Gothic" w:eastAsia="Yu Gothic"/>
          <w:sz w:val="19"/>
        </w:rPr>
        <w:t>使わない図：ST-QA01 v2のL/Dプロット。横軸がL/Dではなく長さ列を拾っている可能性があるため、今回の説明には使わない。</w:t>
      </w:r>
    </w:p>
    <w:p>
      <w:r>
        <w:rPr>
          <w:rFonts w:ascii="Yu Gothic" w:hAnsi="Yu Gothic" w:eastAsia="Yu Gothic"/>
        </w:rPr>
        <w:drawing>
          <wp:inline xmlns:a="http://schemas.openxmlformats.org/drawingml/2006/main" xmlns:pic="http://schemas.openxmlformats.org/drawingml/2006/picture">
            <wp:extent cx="5669280" cy="5150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A02_01_xeq_expBasis_vs_NFI_Xl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50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i/>
          <w:sz w:val="18"/>
        </w:rPr>
        <w:t>図1　バンドル：実験基準x_eqとNFI COBRA Xlocの比較</w:t>
      </w:r>
    </w:p>
    <w:p>
      <w:r>
        <w:rPr>
          <w:rFonts w:ascii="Yu Gothic" w:hAnsi="Yu Gothic" w:eastAsia="Yu Gothic"/>
          <w:sz w:val="19"/>
        </w:rPr>
        <w:t>説明文：108はおおむね同じクオリティ帯に見える。一方、161/164ではNFI Xlocが実験基準x_eqより正側に大きく出る。したがって、NFI側の「高クオリティ」という認識は、COBRAが最小DNBRと判断した位置のXlocを見ていることに依存する。</w:t>
      </w:r>
    </w:p>
    <w:p>
      <w:r>
        <w:rPr>
          <w:rFonts w:ascii="Yu Gothic" w:hAnsi="Yu Gothic" w:eastAsia="Yu Gothic"/>
        </w:rPr>
        <w:drawing>
          <wp:inline xmlns:a="http://schemas.openxmlformats.org/drawingml/2006/main" xmlns:pic="http://schemas.openxmlformats.org/drawingml/2006/picture">
            <wp:extent cx="5669280" cy="40484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A02_03_xeq_distribution_by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i/>
          <w:sz w:val="18"/>
        </w:rPr>
        <w:t>図2　バンドル：試験別クオリティ分布（実験基準 vs NFI COBRA）</w:t>
      </w:r>
    </w:p>
    <w:p>
      <w:r>
        <w:rPr>
          <w:rFonts w:ascii="Yu Gothic" w:hAnsi="Yu Gothic" w:eastAsia="Yu Gothic"/>
          <w:sz w:val="19"/>
        </w:rPr>
        <w:t>説明文：108では実験基準x_eqとNFI Xlocの分布差は比較的小さい。161では実験基準x_eqが負側〜0近傍を含む一方、NFI Xlocは正側にまとまる。164でもNFI Xlocの方が正側に見える。</w:t>
      </w:r>
    </w:p>
    <w:p>
      <w:r>
        <w:rPr>
          <w:rFonts w:ascii="Yu Gothic" w:hAnsi="Yu Gothic" w:eastAsia="Yu Gothic"/>
        </w:rPr>
        <w:drawing>
          <wp:inline xmlns:a="http://schemas.openxmlformats.org/drawingml/2006/main" xmlns:pic="http://schemas.openxmlformats.org/drawingml/2006/picture">
            <wp:extent cx="5669280" cy="4293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_QA01_single_tube_report_quality_distribution_v2_03_vs_Tsu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3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i/>
          <w:sz w:val="18"/>
        </w:rPr>
        <w:t>図3　単管T&amp;M：報告書転記クオリティとTsub</w:t>
      </w:r>
    </w:p>
    <w:p>
      <w:r>
        <w:rPr>
          <w:rFonts w:ascii="Yu Gothic" w:hAnsi="Yu Gothic" w:eastAsia="Yu Gothic"/>
          <w:sz w:val="19"/>
        </w:rPr>
        <w:t>説明文：T&amp;M単管Table9〜12では、報告書転記クオリティはほぼ負側〜0近傍にある。Tsubが100 K級の点でも、DNB点クオリティが高くなるとは限らない。単管側は高クオリティ領域を混ぜているという懸念は小さい。</w:t>
      </w:r>
    </w:p>
    <w:p>
      <w:pPr>
        <w:pStyle w:val="Heading1"/>
      </w:pPr>
      <w:r>
        <w:rPr>
          <w:rFonts w:ascii="Yu Gothic" w:hAnsi="Yu Gothic" w:eastAsia="Yu Gothic"/>
        </w:rPr>
        <w:t>5. 本文に入れる説明文案</w:t>
      </w:r>
    </w:p>
    <w:p>
      <w:pPr>
        <w:spacing w:after="120"/>
      </w:pPr>
      <w:r>
        <w:rPr>
          <w:rFonts w:ascii="Yu Gothic" w:hAnsi="Yu Gothic" w:eastAsia="Yu Gothic"/>
          <w:sz w:val="21"/>
        </w:rPr>
        <w:t>本検討では、単管側についてはT&amp;M報告書に記載されたクオリティ転記値を用いた。Table9〜12の範囲では、報告書転記クオリティはほぼ負側〜0近傍であり、全点がx &lt;= 0.05に収まった。したがって、単管側は高クオリティ領域のデータとしてではなく、低クオリティ〜サブクール側DNBデータとして扱う。</w:t>
      </w:r>
    </w:p>
    <w:p>
      <w:pPr>
        <w:spacing w:after="120"/>
      </w:pPr>
      <w:r>
        <w:rPr>
          <w:rFonts w:ascii="Yu Gothic" w:hAnsi="Yu Gothic" w:eastAsia="Yu Gothic"/>
          <w:sz w:val="21"/>
        </w:rPr>
        <w:t>一方、バンドル側では、実験CHF条件から熱収支で計算した実験基準x_eqと、NFI報告書に記載されたCOBRA最小DNBR位置のXlocでクオリティ帯の見え方が異なる。特に161/164では、NFI Xlocの方が実験基準x_eqより正側に大きく出る。このため、161/164を「高クオリティ側」と表現する場合は、NFI Xlocベースの認識なのか、実験基準x_eqベースの認識なのかを明示する必要がある。</w:t>
      </w:r>
    </w:p>
    <w:p>
      <w:pPr>
        <w:pStyle w:val="Heading1"/>
      </w:pPr>
      <w:r>
        <w:rPr>
          <w:rFonts w:ascii="Yu Gothic" w:hAnsi="Yu Gothic" w:eastAsia="Yu Gothic"/>
        </w:rPr>
        <w:t>6. 注記</w:t>
      </w:r>
    </w:p>
    <w:p>
      <w:pPr>
        <w:pStyle w:val="ListBullet"/>
        <w:spacing w:after="0"/>
      </w:pPr>
      <w:r>
        <w:rPr>
          <w:rFonts w:ascii="Yu Gothic" w:hAnsi="Yu Gothic" w:eastAsia="Yu Gothic"/>
          <w:sz w:val="19"/>
        </w:rPr>
        <w:t>ST-QA01 v2のL/Dプロットは、L/D列ではなく長さ列を拾っている可能性があるため、本資料ではL/D判断には使わない。</w:t>
      </w:r>
    </w:p>
    <w:p>
      <w:pPr>
        <w:pStyle w:val="ListBullet"/>
        <w:spacing w:after="0"/>
      </w:pPr>
      <w:r>
        <w:rPr>
          <w:rFonts w:ascii="Yu Gothic" w:hAnsi="Yu Gothic" w:eastAsia="Yu Gothic"/>
          <w:sz w:val="19"/>
        </w:rPr>
        <w:t>本資料は、クオリティ定義の整理を目的とする。F1補正、L/D補正、DNB位置補正の採否はここでは決めない。</w:t>
      </w:r>
    </w:p>
    <w:p>
      <w:pPr>
        <w:pStyle w:val="ListBullet"/>
        <w:spacing w:after="0"/>
      </w:pPr>
      <w:r>
        <w:rPr>
          <w:rFonts w:ascii="Yu Gothic" w:hAnsi="Yu Gothic" w:eastAsia="Yu Gothic"/>
          <w:sz w:val="19"/>
        </w:rPr>
        <w:t>参照：run_report_QA02_bundle_xeq_definition_compare_v1.md、run_report_ST_QA01_single_tube_report_quality_distribution_v2.md、20260615_H52Q_working_log_r44.md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