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val="0"/>
          <w:i w:val="0"/>
        </w:rPr>
        <w:t>株式会社manaby（東証 TOKYO PRO Market：9222）企業分析レポート</w:t>
      </w:r>
    </w:p>
    <w:p>
      <w:pPr>
        <w:spacing w:before="80" w:after="80"/>
        <w:ind w:left="432"/>
        <w:shd w:val="clear" w:color="auto" w:fill="F2F2F2"/>
      </w:pPr>
      <w:r>
        <w:rPr>
          <w:b w:val="0"/>
          <w:i/>
        </w:rPr>
        <w:t>投資銀行アナリスト視点による事業・戦略・財務の徹底分析 作成日：2026年5月28日 対象：株式会社manaby（本社：宮城県仙台市／障害福祉サービス・就労支援）</w:t>
      </w:r>
    </w:p>
    <w:p>
      <w:pPr>
        <w:pStyle w:val="Heading1"/>
      </w:pPr>
      <w:r>
        <w:rPr>
          <w:b w:val="0"/>
          <w:i w:val="0"/>
        </w:rPr>
        <w:t>0. 本レポートの位置づけとデータ取得上の注意</w:t>
      </w:r>
    </w:p>
    <w:p>
      <w:r>
        <w:rPr>
          <w:b w:val="0"/>
          <w:i w:val="0"/>
        </w:rPr>
        <w:t>本レポートは、公開情報（決算短信、適時開示、プレスリリース、報道、会社IRページ、業界統計）をもとに、投資銀行のカバレッジ・アナリストが社内検討資料として作成する想定でまとめたものである。</w:t>
      </w:r>
    </w:p>
    <w:p>
      <w:r>
        <w:rPr>
          <w:b/>
          <w:i w:val="0"/>
        </w:rPr>
        <w:t>データの信頼度について（重要）：</w:t>
      </w:r>
    </w:p>
    <w:p>
      <w:pPr>
        <w:pStyle w:val="ListBullet"/>
      </w:pPr>
      <w:r>
        <w:rPr>
          <w:b w:val="0"/>
          <w:i w:val="0"/>
        </w:rPr>
        <w:t>manabyはTOKYO PRO Market（以下「TPM」）上場会社であり、</w:t>
      </w:r>
      <w:r>
        <w:rPr>
          <w:b/>
          <w:i w:val="0"/>
        </w:rPr>
        <w:t>一般市場（プライム／スタンダード／グロース）と異なり、四半期開示・有価証券報告書の提出義務がない</w:t>
      </w:r>
      <w:r>
        <w:rPr>
          <w:b w:val="0"/>
          <w:i w:val="0"/>
        </w:rPr>
        <w:t>。開示は「決算短信（通期）」「中間発行者情報（半期）」「決算公告」が中心で、機関投資家向けの詳細セグメント開示や正式な「中期経営計画書」は一般市場ほど整備されていない。なお、当社は</w:t>
      </w:r>
      <w:r>
        <w:rPr>
          <w:b/>
          <w:i w:val="0"/>
        </w:rPr>
        <w:t>「就労支援事業」の単一セグメント</w:t>
      </w:r>
      <w:r>
        <w:rPr>
          <w:b w:val="0"/>
          <w:i w:val="0"/>
        </w:rPr>
        <w:t>として開示しており、サービス別売上高は非開示である。</w:t>
      </w:r>
    </w:p>
    <w:p>
      <w:pPr>
        <w:pStyle w:val="ListBullet"/>
      </w:pPr>
      <w:r>
        <w:rPr>
          <w:b w:val="0"/>
          <w:i w:val="0"/>
        </w:rPr>
        <w:t>本レポートの損益（P/L）・貸借対照表（B/S）・キャッシュフロー（C/F）の数値は、</w:t>
      </w:r>
      <w:r>
        <w:rPr>
          <w:b/>
          <w:i w:val="0"/>
        </w:rPr>
        <w:t>FY2023期・FY2024期・FY2025期（2023〜2025年3月期）の決算短信（原本PDF）から直接取得した確定値</w:t>
      </w:r>
      <w:r>
        <w:rPr>
          <w:b w:val="0"/>
          <w:i w:val="0"/>
        </w:rPr>
        <w:t>である（FY2022実績も各短信の比較期から取得済み、FY2026は会社の業績予想）。決算短信は監査法人の監査対象外である点に留意。</w:t>
      </w:r>
    </w:p>
    <w:p>
      <w:pPr>
        <w:pStyle w:val="Heading1"/>
      </w:pPr>
      <w:r>
        <w:rPr>
          <w:b w:val="0"/>
          <w:i w:val="0"/>
        </w:rPr>
        <w:t>1. エグゼクティブ・サマリー（投資論点）</w:t>
      </w:r>
    </w:p>
    <w:p>
      <w:r>
        <w:rPr>
          <w:b w:val="0"/>
          <w:i w:val="0"/>
        </w:rPr>
        <w:t>株式会社manabyは、</w:t>
      </w:r>
      <w:r>
        <w:rPr>
          <w:b/>
          <w:i w:val="0"/>
        </w:rPr>
        <w:t>「一人ひとりが自分らしく働ける社会をつくる」</w:t>
      </w:r>
      <w:r>
        <w:rPr>
          <w:b w:val="0"/>
          <w:i w:val="0"/>
        </w:rPr>
        <w:t>をミッションに掲げる、仙台発の障害者就労支援ソーシャルベンチャーである。最大の差別化要因は、</w:t>
      </w:r>
      <w:r>
        <w:rPr>
          <w:b/>
          <w:i w:val="0"/>
        </w:rPr>
        <w:t>自社開発のeラーニングシステム「マナe」を核とした「在宅訓練・在宅就労」モデル</w:t>
      </w:r>
      <w:r>
        <w:rPr>
          <w:b w:val="0"/>
          <w:i w:val="0"/>
        </w:rPr>
        <w:t>で、これにより通所が難しい障害者にも学習機会を提供し、IT・クリエイティブ職への就職という付加価値の高い出口を実現している点にある。</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論点</w:t>
            </w:r>
          </w:p>
        </w:tc>
        <w:tc>
          <w:tcPr>
            <w:tcW w:type="dxa" w:w="2880"/>
            <w:shd w:val="clear" w:color="auto" w:fill="D9E2F3"/>
          </w:tcPr>
          <w:p>
            <w:r>
              <w:rPr>
                <w:b/>
              </w:rPr>
            </w:r>
            <w:r>
              <w:rPr>
                <w:b/>
                <w:i w:val="0"/>
              </w:rPr>
              <w:t>評価</w:t>
            </w:r>
          </w:p>
        </w:tc>
        <w:tc>
          <w:tcPr>
            <w:tcW w:type="dxa" w:w="2880"/>
            <w:shd w:val="clear" w:color="auto" w:fill="D9E2F3"/>
          </w:tcPr>
          <w:p>
            <w:r>
              <w:rPr>
                <w:b/>
              </w:rPr>
            </w:r>
            <w:r>
              <w:rPr>
                <w:b/>
                <w:i w:val="0"/>
              </w:rPr>
              <w:t>要旨</w:t>
            </w:r>
          </w:p>
        </w:tc>
      </w:tr>
      <w:tr>
        <w:tc>
          <w:tcPr>
            <w:tcW w:type="dxa" w:w="2880"/>
          </w:tcPr>
          <w:p>
            <w:r/>
            <w:r>
              <w:rPr>
                <w:b/>
                <w:i w:val="0"/>
              </w:rPr>
              <w:t>市場の追い風</w:t>
            </w:r>
          </w:p>
        </w:tc>
        <w:tc>
          <w:tcPr>
            <w:tcW w:type="dxa" w:w="2880"/>
          </w:tcPr>
          <w:p>
            <w:r/>
            <w:r>
              <w:rPr>
                <w:b w:val="0"/>
                <w:i w:val="0"/>
              </w:rPr>
              <w:t>◎ ポジティブ</w:t>
            </w:r>
          </w:p>
        </w:tc>
        <w:tc>
          <w:tcPr>
            <w:tcW w:type="dxa" w:w="2880"/>
          </w:tcPr>
          <w:p>
            <w:r/>
            <w:r>
              <w:rPr>
                <w:b w:val="0"/>
                <w:i w:val="0"/>
              </w:rPr>
              <w:t>法定雇用率が2.3%→2.5%（2024/4）→2.7%（2026/7）へ段階的に上昇。障害者就労支援市場は2027年に約980億円規模へ拡大見込み。構造的な需要拡大局面。</w:t>
            </w:r>
          </w:p>
        </w:tc>
      </w:tr>
      <w:tr>
        <w:tc>
          <w:tcPr>
            <w:tcW w:type="dxa" w:w="2880"/>
          </w:tcPr>
          <w:p>
            <w:r/>
            <w:r>
              <w:rPr>
                <w:b/>
                <w:i w:val="0"/>
              </w:rPr>
              <w:t>差別化</w:t>
            </w:r>
          </w:p>
        </w:tc>
        <w:tc>
          <w:tcPr>
            <w:tcW w:type="dxa" w:w="2880"/>
          </w:tcPr>
          <w:p>
            <w:r/>
            <w:r>
              <w:rPr>
                <w:b w:val="0"/>
                <w:i w:val="0"/>
              </w:rPr>
              <w:t>○ ポジティブ</w:t>
            </w:r>
          </w:p>
        </w:tc>
        <w:tc>
          <w:tcPr>
            <w:tcW w:type="dxa" w:w="2880"/>
          </w:tcPr>
          <w:p>
            <w:r/>
            <w:r>
              <w:rPr>
                <w:b w:val="0"/>
                <w:i w:val="0"/>
              </w:rPr>
              <w:t>独自eラーニング「マナe」＋在宅就労ノウハウ。就職者の約2割がIT・クリエイティブ職、約2割が在宅就労を実現。模倣困難なコンテンツ資産。</w:t>
            </w:r>
          </w:p>
        </w:tc>
      </w:tr>
      <w:tr>
        <w:tc>
          <w:tcPr>
            <w:tcW w:type="dxa" w:w="2880"/>
          </w:tcPr>
          <w:p>
            <w:r/>
            <w:r>
              <w:rPr>
                <w:b/>
                <w:i w:val="0"/>
              </w:rPr>
              <w:t>成長モデル</w:t>
            </w:r>
          </w:p>
        </w:tc>
        <w:tc>
          <w:tcPr>
            <w:tcW w:type="dxa" w:w="2880"/>
          </w:tcPr>
          <w:p>
            <w:r/>
            <w:r>
              <w:rPr>
                <w:b w:val="0"/>
                <w:i w:val="0"/>
              </w:rPr>
              <w:t>○ 要注視</w:t>
            </w:r>
          </w:p>
        </w:tc>
        <w:tc>
          <w:tcPr>
            <w:tcW w:type="dxa" w:w="2880"/>
          </w:tcPr>
          <w:p>
            <w:r/>
            <w:r>
              <w:rPr>
                <w:b w:val="0"/>
                <w:i w:val="0"/>
              </w:rPr>
              <w:t>直営＋独自FC「CSP（Change Social Partner）」による拠点拡大。資本を抑えた多店舗展開だが、新規拠点は黒字化まで時間を要し、利益のボラティリティが高い。</w:t>
            </w:r>
          </w:p>
        </w:tc>
      </w:tr>
      <w:tr>
        <w:tc>
          <w:tcPr>
            <w:tcW w:type="dxa" w:w="2880"/>
          </w:tcPr>
          <w:p>
            <w:r/>
            <w:r>
              <w:rPr>
                <w:b/>
                <w:i w:val="0"/>
              </w:rPr>
              <w:t>収益性・財務</w:t>
            </w:r>
          </w:p>
        </w:tc>
        <w:tc>
          <w:tcPr>
            <w:tcW w:type="dxa" w:w="2880"/>
          </w:tcPr>
          <w:p>
            <w:r/>
            <w:r>
              <w:rPr>
                <w:b w:val="0"/>
                <w:i w:val="0"/>
              </w:rPr>
              <w:t>△ 課題</w:t>
            </w:r>
          </w:p>
        </w:tc>
        <w:tc>
          <w:tcPr>
            <w:tcW w:type="dxa" w:w="2880"/>
          </w:tcPr>
          <w:p>
            <w:r/>
            <w:r>
              <w:rPr>
                <w:b w:val="0"/>
                <w:i w:val="0"/>
              </w:rPr>
              <w:t>拠点先行投資により黒字・赤字を行き来する「踊り場」。FY2025は営業損失△19百万円。</w:t>
            </w:r>
            <w:r>
              <w:rPr>
                <w:b/>
                <w:i w:val="0"/>
              </w:rPr>
              <w:t>自己資本はわずか57百万円・自己資本比率7.2%と極小、有利子負債約6.0億円</w:t>
            </w:r>
            <w:r>
              <w:rPr>
                <w:b w:val="0"/>
                <w:i w:val="0"/>
              </w:rPr>
              <w:t>と高レバレッジ。成長投資の原資が最大の論点。</w:t>
            </w:r>
          </w:p>
        </w:tc>
      </w:tr>
      <w:tr>
        <w:tc>
          <w:tcPr>
            <w:tcW w:type="dxa" w:w="2880"/>
          </w:tcPr>
          <w:p>
            <w:r/>
            <w:r>
              <w:rPr>
                <w:b/>
                <w:i w:val="0"/>
              </w:rPr>
              <w:t>資本市場</w:t>
            </w:r>
          </w:p>
        </w:tc>
        <w:tc>
          <w:tcPr>
            <w:tcW w:type="dxa" w:w="2880"/>
          </w:tcPr>
          <w:p>
            <w:r/>
            <w:r>
              <w:rPr>
                <w:b w:val="0"/>
                <w:i w:val="0"/>
              </w:rPr>
              <w:t>△ 構造的制約</w:t>
            </w:r>
          </w:p>
        </w:tc>
        <w:tc>
          <w:tcPr>
            <w:tcW w:type="dxa" w:w="2880"/>
          </w:tcPr>
          <w:p>
            <w:r/>
            <w:r>
              <w:rPr>
                <w:b w:val="0"/>
                <w:i w:val="0"/>
              </w:rPr>
              <w:t>TPMゆえ流動性が極端に低く、株価による資金調達・時価総額の論点が限定的。</w:t>
            </w:r>
            <w:r>
              <w:rPr>
                <w:b/>
                <w:i w:val="0"/>
              </w:rPr>
              <w:t>一般市場へのステップアップ（市場変更）の可否</w:t>
            </w:r>
            <w:r>
              <w:rPr>
                <w:b w:val="0"/>
                <w:i w:val="0"/>
              </w:rPr>
              <w:t>が中長期の最大の資本政策テーマ。</w:t>
            </w:r>
          </w:p>
        </w:tc>
      </w:tr>
      <w:tr>
        <w:tc>
          <w:tcPr>
            <w:tcW w:type="dxa" w:w="2880"/>
          </w:tcPr>
          <w:p>
            <w:r/>
            <w:r>
              <w:rPr>
                <w:b/>
                <w:i w:val="0"/>
              </w:rPr>
              <w:t>ガバナンス／資本構成</w:t>
            </w:r>
          </w:p>
        </w:tc>
        <w:tc>
          <w:tcPr>
            <w:tcW w:type="dxa" w:w="2880"/>
          </w:tcPr>
          <w:p>
            <w:r/>
            <w:r>
              <w:rPr>
                <w:b w:val="0"/>
                <w:i w:val="0"/>
              </w:rPr>
              <w:t>△ 要注視</w:t>
            </w:r>
          </w:p>
        </w:tc>
        <w:tc>
          <w:tcPr>
            <w:tcW w:type="dxa" w:w="2880"/>
          </w:tcPr>
          <w:p>
            <w:r/>
            <w:r>
              <w:rPr>
                <w:b w:val="0"/>
                <w:i w:val="0"/>
              </w:rPr>
              <w:t>創業者・岡﨑衛氏（関連会社ユニークアイ含む）の持株比率が極めて高く、オーナー支配。2024年にAHCグループと資本業務提携（3.18%取得）。</w:t>
            </w:r>
          </w:p>
        </w:tc>
      </w:tr>
    </w:tbl>
    <w:p/>
    <w:p>
      <w:r>
        <w:rPr>
          <w:b/>
          <w:i w:val="0"/>
        </w:rPr>
        <w:t>総括：</w:t>
      </w:r>
      <w:r>
        <w:rPr>
          <w:b w:val="0"/>
          <w:i w:val="0"/>
        </w:rPr>
        <w:t xml:space="preserve"> 社会的意義と市場の追い風が明確な一方、(1) 拠点投資に伴う利益の不安定さ、(2) 小規模な財務基盤、(3) TPMの流動性制約、という3点が成長の律速要因。投資銀行の視点では、</w:t>
      </w:r>
      <w:r>
        <w:rPr>
          <w:b/>
          <w:i w:val="0"/>
        </w:rPr>
        <w:t>「成長資金の調達手段（一般市場へのステップアップ or 戦略的資本提携／M&amp;Aによる規模拡大）」が同社の次のバリュー・インフレクション・ポイント</w:t>
      </w:r>
      <w:r>
        <w:rPr>
          <w:b w:val="0"/>
          <w:i w:val="0"/>
        </w:rPr>
        <w:t>となる。</w:t>
      </w:r>
    </w:p>
    <w:p>
      <w:pPr>
        <w:pStyle w:val="Heading1"/>
      </w:pPr>
      <w:r>
        <w:rPr>
          <w:b w:val="0"/>
          <w:i w:val="0"/>
        </w:rPr>
        <w:t>2. 会社概要</w:t>
      </w:r>
    </w:p>
    <w:p>
      <w:pPr>
        <w:pStyle w:val="Heading2"/>
      </w:pPr>
      <w:r>
        <w:rPr>
          <w:b w:val="0"/>
          <w:i w:val="0"/>
        </w:rPr>
        <w:t>2.1 基本情報</w:t>
      </w:r>
    </w:p>
    <w:tbl>
      <w:tblPr>
        <w:tblStyle w:val="TableGrid"/>
        <w:tblW w:type="auto" w:w="0"/>
        <w:tblLook w:firstColumn="1" w:firstRow="1" w:lastColumn="0" w:lastRow="0" w:noHBand="0" w:noVBand="1" w:val="04A0"/>
      </w:tblPr>
      <w:tblGrid>
        <w:gridCol w:w="4320"/>
        <w:gridCol w:w="4320"/>
      </w:tblGrid>
      <w:tr>
        <w:tc>
          <w:tcPr>
            <w:tcW w:type="dxa" w:w="4320"/>
            <w:shd w:val="clear" w:color="auto" w:fill="D9E2F3"/>
          </w:tcPr>
          <w:p>
            <w:r>
              <w:rPr>
                <w:b/>
              </w:rPr>
            </w:r>
            <w:r>
              <w:rPr>
                <w:b/>
                <w:i w:val="0"/>
              </w:rPr>
              <w:t>項目</w:t>
            </w:r>
          </w:p>
        </w:tc>
        <w:tc>
          <w:tcPr>
            <w:tcW w:type="dxa" w:w="4320"/>
            <w:shd w:val="clear" w:color="auto" w:fill="D9E2F3"/>
          </w:tcPr>
          <w:p>
            <w:r>
              <w:rPr>
                <w:b/>
              </w:rPr>
            </w:r>
            <w:r>
              <w:rPr>
                <w:b/>
                <w:i w:val="0"/>
              </w:rPr>
              <w:t>内容</w:t>
            </w:r>
          </w:p>
        </w:tc>
      </w:tr>
      <w:tr>
        <w:tc>
          <w:tcPr>
            <w:tcW w:type="dxa" w:w="4320"/>
          </w:tcPr>
          <w:p>
            <w:r/>
            <w:r>
              <w:rPr>
                <w:b w:val="0"/>
                <w:i w:val="0"/>
              </w:rPr>
              <w:t>商号</w:t>
            </w:r>
          </w:p>
        </w:tc>
        <w:tc>
          <w:tcPr>
            <w:tcW w:type="dxa" w:w="4320"/>
          </w:tcPr>
          <w:p>
            <w:r/>
            <w:r>
              <w:rPr>
                <w:b w:val="0"/>
                <w:i w:val="0"/>
              </w:rPr>
              <w:t>株式会社manaby（マナビー）</w:t>
            </w:r>
          </w:p>
        </w:tc>
      </w:tr>
      <w:tr>
        <w:tc>
          <w:tcPr>
            <w:tcW w:type="dxa" w:w="4320"/>
          </w:tcPr>
          <w:p>
            <w:r/>
            <w:r>
              <w:rPr>
                <w:b w:val="0"/>
                <w:i w:val="0"/>
              </w:rPr>
              <w:t>設立</w:t>
            </w:r>
          </w:p>
        </w:tc>
        <w:tc>
          <w:tcPr>
            <w:tcW w:type="dxa" w:w="4320"/>
          </w:tcPr>
          <w:p>
            <w:r/>
            <w:r>
              <w:rPr>
                <w:b w:val="0"/>
                <w:i w:val="0"/>
              </w:rPr>
              <w:t>2016年6月6日</w:t>
            </w:r>
          </w:p>
        </w:tc>
      </w:tr>
      <w:tr>
        <w:tc>
          <w:tcPr>
            <w:tcW w:type="dxa" w:w="4320"/>
          </w:tcPr>
          <w:p>
            <w:r/>
            <w:r>
              <w:rPr>
                <w:b w:val="0"/>
                <w:i w:val="0"/>
              </w:rPr>
              <w:t>本社</w:t>
            </w:r>
          </w:p>
        </w:tc>
        <w:tc>
          <w:tcPr>
            <w:tcW w:type="dxa" w:w="4320"/>
          </w:tcPr>
          <w:p>
            <w:r/>
            <w:r>
              <w:rPr>
                <w:b w:val="0"/>
                <w:i w:val="0"/>
              </w:rPr>
              <w:t>宮城県仙台市宮城野区榴岡1-6-30 ディーグランツ仙台ビル5F</w:t>
            </w:r>
          </w:p>
        </w:tc>
      </w:tr>
      <w:tr>
        <w:tc>
          <w:tcPr>
            <w:tcW w:type="dxa" w:w="4320"/>
          </w:tcPr>
          <w:p>
            <w:r/>
            <w:r>
              <w:rPr>
                <w:b w:val="0"/>
                <w:i w:val="0"/>
              </w:rPr>
              <w:t>代表者</w:t>
            </w:r>
          </w:p>
        </w:tc>
        <w:tc>
          <w:tcPr>
            <w:tcW w:type="dxa" w:w="4320"/>
          </w:tcPr>
          <w:p>
            <w:r/>
            <w:r>
              <w:rPr>
                <w:b w:val="0"/>
                <w:i w:val="0"/>
              </w:rPr>
              <w:t>代表取締役社長　岡﨑　衛（おかざき まもる）</w:t>
            </w:r>
          </w:p>
        </w:tc>
      </w:tr>
      <w:tr>
        <w:tc>
          <w:tcPr>
            <w:tcW w:type="dxa" w:w="4320"/>
          </w:tcPr>
          <w:p>
            <w:r/>
            <w:r>
              <w:rPr>
                <w:b w:val="0"/>
                <w:i w:val="0"/>
              </w:rPr>
              <w:t>資本金</w:t>
            </w:r>
          </w:p>
        </w:tc>
        <w:tc>
          <w:tcPr>
            <w:tcW w:type="dxa" w:w="4320"/>
          </w:tcPr>
          <w:p>
            <w:r/>
            <w:r>
              <w:rPr>
                <w:b w:val="0"/>
                <w:i w:val="0"/>
              </w:rPr>
              <w:t>66.4百万円（資本準備金50.3百万円を含む払込資本計116.7百万円）</w:t>
            </w:r>
          </w:p>
        </w:tc>
      </w:tr>
      <w:tr>
        <w:tc>
          <w:tcPr>
            <w:tcW w:type="dxa" w:w="4320"/>
          </w:tcPr>
          <w:p>
            <w:r/>
            <w:r>
              <w:rPr>
                <w:b w:val="0"/>
                <w:i w:val="0"/>
              </w:rPr>
              <w:t>決算期</w:t>
            </w:r>
          </w:p>
        </w:tc>
        <w:tc>
          <w:tcPr>
            <w:tcW w:type="dxa" w:w="4320"/>
          </w:tcPr>
          <w:p>
            <w:r/>
            <w:r>
              <w:rPr>
                <w:b w:val="0"/>
                <w:i w:val="0"/>
              </w:rPr>
              <w:t>3月（年1回）</w:t>
            </w:r>
          </w:p>
        </w:tc>
      </w:tr>
      <w:tr>
        <w:tc>
          <w:tcPr>
            <w:tcW w:type="dxa" w:w="4320"/>
          </w:tcPr>
          <w:p>
            <w:r/>
            <w:r>
              <w:rPr>
                <w:b w:val="0"/>
                <w:i w:val="0"/>
              </w:rPr>
              <w:t>上場市場</w:t>
            </w:r>
          </w:p>
        </w:tc>
        <w:tc>
          <w:tcPr>
            <w:tcW w:type="dxa" w:w="4320"/>
          </w:tcPr>
          <w:p>
            <w:r/>
            <w:r>
              <w:rPr>
                <w:b w:val="0"/>
                <w:i w:val="0"/>
              </w:rPr>
              <w:t>東京証券取引所 TOKYO PRO Market</w:t>
            </w:r>
          </w:p>
        </w:tc>
      </w:tr>
      <w:tr>
        <w:tc>
          <w:tcPr>
            <w:tcW w:type="dxa" w:w="4320"/>
          </w:tcPr>
          <w:p>
            <w:r/>
            <w:r>
              <w:rPr>
                <w:b w:val="0"/>
                <w:i w:val="0"/>
              </w:rPr>
              <w:t>証券コード</w:t>
            </w:r>
          </w:p>
        </w:tc>
        <w:tc>
          <w:tcPr>
            <w:tcW w:type="dxa" w:w="4320"/>
          </w:tcPr>
          <w:p>
            <w:r/>
            <w:r>
              <w:rPr>
                <w:b w:val="0"/>
                <w:i w:val="0"/>
              </w:rPr>
              <w:t>9222</w:t>
            </w:r>
          </w:p>
        </w:tc>
      </w:tr>
      <w:tr>
        <w:tc>
          <w:tcPr>
            <w:tcW w:type="dxa" w:w="4320"/>
          </w:tcPr>
          <w:p>
            <w:r/>
            <w:r>
              <w:rPr>
                <w:b w:val="0"/>
                <w:i w:val="0"/>
              </w:rPr>
              <w:t>上場日</w:t>
            </w:r>
          </w:p>
        </w:tc>
        <w:tc>
          <w:tcPr>
            <w:tcW w:type="dxa" w:w="4320"/>
          </w:tcPr>
          <w:p>
            <w:r/>
            <w:r>
              <w:rPr>
                <w:b w:val="0"/>
                <w:i w:val="0"/>
              </w:rPr>
              <w:t>2022年4月21日</w:t>
            </w:r>
          </w:p>
        </w:tc>
      </w:tr>
      <w:tr>
        <w:tc>
          <w:tcPr>
            <w:tcW w:type="dxa" w:w="4320"/>
          </w:tcPr>
          <w:p>
            <w:r/>
            <w:r>
              <w:rPr>
                <w:b w:val="0"/>
                <w:i w:val="0"/>
              </w:rPr>
              <w:t>J-Adviser</w:t>
            </w:r>
          </w:p>
        </w:tc>
        <w:tc>
          <w:tcPr>
            <w:tcW w:type="dxa" w:w="4320"/>
          </w:tcPr>
          <w:p>
            <w:r/>
            <w:r>
              <w:rPr>
                <w:b w:val="0"/>
                <w:i w:val="0"/>
              </w:rPr>
              <w:t>日本M&amp;Aセンター</w:t>
            </w:r>
          </w:p>
        </w:tc>
      </w:tr>
      <w:tr>
        <w:tc>
          <w:tcPr>
            <w:tcW w:type="dxa" w:w="4320"/>
          </w:tcPr>
          <w:p>
            <w:r/>
            <w:r>
              <w:rPr>
                <w:b w:val="0"/>
                <w:i w:val="0"/>
              </w:rPr>
              <w:t>業種</w:t>
            </w:r>
          </w:p>
        </w:tc>
        <w:tc>
          <w:tcPr>
            <w:tcW w:type="dxa" w:w="4320"/>
          </w:tcPr>
          <w:p>
            <w:r/>
            <w:r>
              <w:rPr>
                <w:b w:val="0"/>
                <w:i w:val="0"/>
              </w:rPr>
              <w:t>サービス業（障害者総合支援法に基づく障害福祉サービス事業）</w:t>
            </w:r>
          </w:p>
        </w:tc>
      </w:tr>
      <w:tr>
        <w:tc>
          <w:tcPr>
            <w:tcW w:type="dxa" w:w="4320"/>
          </w:tcPr>
          <w:p>
            <w:r/>
            <w:r>
              <w:rPr>
                <w:b w:val="0"/>
                <w:i w:val="0"/>
              </w:rPr>
              <w:t>発行済株式総数</w:t>
            </w:r>
          </w:p>
        </w:tc>
        <w:tc>
          <w:tcPr>
            <w:tcW w:type="dxa" w:w="4320"/>
          </w:tcPr>
          <w:p>
            <w:r/>
            <w:r>
              <w:rPr>
                <w:b w:val="0"/>
                <w:i w:val="0"/>
              </w:rPr>
              <w:t>1,571,000株（自己株式なし。潜在株式：新株予約権13,000株）</w:t>
            </w:r>
          </w:p>
        </w:tc>
      </w:tr>
    </w:tbl>
    <w:p/>
    <w:p>
      <w:pPr>
        <w:pStyle w:val="Heading2"/>
      </w:pPr>
      <w:r>
        <w:rPr>
          <w:b w:val="0"/>
          <w:i w:val="0"/>
        </w:rPr>
        <w:t>2.2 沿革と創業ストーリー</w:t>
      </w:r>
    </w:p>
    <w:p>
      <w:pPr>
        <w:pStyle w:val="ListBullet"/>
      </w:pPr>
      <w:r>
        <w:rPr>
          <w:b w:val="0"/>
          <w:i w:val="0"/>
        </w:rPr>
        <w:t>代表の岡﨑衛氏は1987年仙台市生まれ。大学在学中に障害者就労支援のソーシャルベンチャーでインターンを経験し、</w:t>
      </w:r>
      <w:r>
        <w:rPr>
          <w:b/>
          <w:i w:val="0"/>
        </w:rPr>
        <w:t>2009年に株式会社ユニークアイを創業</w:t>
      </w:r>
      <w:r>
        <w:rPr>
          <w:b w:val="0"/>
          <w:i w:val="0"/>
        </w:rPr>
        <w:t>して障害者就労支援事業を開始。</w:t>
      </w:r>
    </w:p>
    <w:p>
      <w:pPr>
        <w:pStyle w:val="ListBullet"/>
      </w:pPr>
      <w:r>
        <w:rPr>
          <w:b/>
          <w:i w:val="0"/>
        </w:rPr>
        <w:t>2016年6月、株式会社manabyを創業</w:t>
      </w:r>
      <w:r>
        <w:rPr>
          <w:b w:val="0"/>
          <w:i w:val="0"/>
        </w:rPr>
        <w:t>。自社開発のeラーニングを軸とした「在宅訓練」という当時としては新規性の高いモデルを構築。</w:t>
      </w:r>
    </w:p>
    <w:p>
      <w:pPr>
        <w:pStyle w:val="ListBullet"/>
      </w:pPr>
      <w:r>
        <w:rPr>
          <w:b/>
          <w:i w:val="0"/>
        </w:rPr>
        <w:t>2019年、仙台市の「仙台未来創造企業創出プログラム」に認定</w:t>
      </w:r>
      <w:r>
        <w:rPr>
          <w:b w:val="0"/>
          <w:i w:val="0"/>
        </w:rPr>
        <w:t>。同プログラムは仙台市が地域有望企業の株式上場を支援する枠組みで、manabyはその支援を受けて上場に至った（仙台市の地域経済活性化の象徴的事例）。</w:t>
      </w:r>
    </w:p>
    <w:p>
      <w:pPr>
        <w:pStyle w:val="ListBullet"/>
      </w:pPr>
      <w:r>
        <w:rPr>
          <w:b/>
          <w:i w:val="0"/>
        </w:rPr>
        <w:t>2022年4月21日、TOKYO PRO Marketに上場</w:t>
      </w:r>
      <w:r>
        <w:rPr>
          <w:b w:val="0"/>
          <w:i w:val="0"/>
        </w:rPr>
        <w:t>（上場初値決定前の気配運用における評価額は1,300円）。河北新報など地元メディアでも大きく報道。</w:t>
      </w:r>
    </w:p>
    <w:p>
      <w:pPr>
        <w:pStyle w:val="ListBullet"/>
      </w:pPr>
      <w:r>
        <w:rPr>
          <w:b/>
          <w:i w:val="0"/>
        </w:rPr>
        <w:t>2024年5月、AHCグループ株式会社と資本業務提携</w:t>
      </w:r>
      <w:r>
        <w:rPr>
          <w:b w:val="0"/>
          <w:i w:val="0"/>
        </w:rPr>
        <w:t>（障害福祉分野のDX推進）。AHCがmanaby株3.18%を取得。</w:t>
      </w:r>
    </w:p>
    <w:p>
      <w:pPr>
        <w:spacing w:before="80" w:after="80"/>
        <w:ind w:left="432"/>
        <w:shd w:val="clear" w:color="auto" w:fill="F2F2F2"/>
      </w:pPr>
      <w:r>
        <w:rPr>
          <w:b/>
          <w:i/>
        </w:rPr>
        <w:t>投資銀行コメント：</w:t>
      </w:r>
      <w:r>
        <w:rPr>
          <w:b w:val="0"/>
          <w:i/>
        </w:rPr>
        <w:t xml:space="preserve"> 「ソーシャルミッション × IT × 地方創業 × 自治体支援上場」という、ESG文脈とストーリー性が非常に強い銘柄。一方で、ミッション・ドリブンな経営は資本効率（ROE/ROIC）とのバランスがしばしば論点となる。岡﨑氏のインタビューでも「ミッションに真っ直ぐ」な経営スタイルが繰り返し語られており、資本市場との対話（成長性と収益性の両立）が今後の課題となる。</w:t>
      </w:r>
    </w:p>
    <w:p>
      <w:pPr>
        <w:pStyle w:val="Heading1"/>
      </w:pPr>
      <w:r>
        <w:rPr>
          <w:b w:val="0"/>
          <w:i w:val="0"/>
        </w:rPr>
        <w:t>3. 事業内容（事業ポートフォリオとビジネスモデル）</w:t>
      </w:r>
    </w:p>
    <w:p>
      <w:r>
        <w:rPr>
          <w:b w:val="0"/>
          <w:i w:val="0"/>
        </w:rPr>
        <w:t>manabyは障害者総合支援法に基づく</w:t>
      </w:r>
      <w:r>
        <w:rPr>
          <w:b/>
          <w:i w:val="0"/>
        </w:rPr>
        <w:t>就労移行支援事業所・就労継続支援B型事業所の運営を主軸</w:t>
      </w:r>
      <w:r>
        <w:rPr>
          <w:b w:val="0"/>
          <w:i w:val="0"/>
        </w:rPr>
        <w:t>に、周辺サービスを多角化している。</w:t>
      </w:r>
    </w:p>
    <w:p>
      <w:pPr>
        <w:pStyle w:val="Heading2"/>
      </w:pPr>
      <w:r>
        <w:rPr>
          <w:b w:val="0"/>
          <w:i w:val="0"/>
        </w:rPr>
        <w:t>3.1 セグメント／サービス一覧</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サービス</w:t>
            </w:r>
          </w:p>
        </w:tc>
        <w:tc>
          <w:tcPr>
            <w:tcW w:type="dxa" w:w="2880"/>
            <w:shd w:val="clear" w:color="auto" w:fill="D9E2F3"/>
          </w:tcPr>
          <w:p>
            <w:r>
              <w:rPr>
                <w:b/>
              </w:rPr>
            </w:r>
            <w:r>
              <w:rPr>
                <w:b/>
                <w:i w:val="0"/>
              </w:rPr>
              <w:t>内容</w:t>
            </w:r>
          </w:p>
        </w:tc>
        <w:tc>
          <w:tcPr>
            <w:tcW w:type="dxa" w:w="2880"/>
            <w:shd w:val="clear" w:color="auto" w:fill="D9E2F3"/>
          </w:tcPr>
          <w:p>
            <w:r>
              <w:rPr>
                <w:b/>
              </w:rPr>
            </w:r>
            <w:r>
              <w:rPr>
                <w:b/>
                <w:i w:val="0"/>
              </w:rPr>
              <w:t>制度区分／収益源</w:t>
            </w:r>
          </w:p>
        </w:tc>
      </w:tr>
      <w:tr>
        <w:tc>
          <w:tcPr>
            <w:tcW w:type="dxa" w:w="2880"/>
          </w:tcPr>
          <w:p>
            <w:r/>
            <w:r>
              <w:rPr>
                <w:b/>
                <w:i w:val="0"/>
              </w:rPr>
              <w:t>就労移行支援「manaby」</w:t>
            </w:r>
          </w:p>
        </w:tc>
        <w:tc>
          <w:tcPr>
            <w:tcW w:type="dxa" w:w="2880"/>
          </w:tcPr>
          <w:p>
            <w:r/>
            <w:r>
              <w:rPr>
                <w:b w:val="0"/>
                <w:i w:val="0"/>
              </w:rPr>
              <w:t>障害福祉サービス受給者証を持つ方に、コミュニケーション・ITスキル・セルフケアの訓練と求職活動支援を提供。中核事業。</w:t>
            </w:r>
          </w:p>
        </w:tc>
        <w:tc>
          <w:tcPr>
            <w:tcW w:type="dxa" w:w="2880"/>
          </w:tcPr>
          <w:p>
            <w:r/>
            <w:r>
              <w:rPr>
                <w:b w:val="0"/>
                <w:i w:val="0"/>
              </w:rPr>
              <w:t>訓練等給付費（自治体）＋就職・定着実績による加算</w:t>
            </w:r>
          </w:p>
        </w:tc>
      </w:tr>
      <w:tr>
        <w:tc>
          <w:tcPr>
            <w:tcW w:type="dxa" w:w="2880"/>
          </w:tcPr>
          <w:p>
            <w:r/>
            <w:r>
              <w:rPr>
                <w:b/>
                <w:i w:val="0"/>
              </w:rPr>
              <w:t>就労継続支援B型「manaby CREATORS」</w:t>
            </w:r>
          </w:p>
        </w:tc>
        <w:tc>
          <w:tcPr>
            <w:tcW w:type="dxa" w:w="2880"/>
          </w:tcPr>
          <w:p>
            <w:r/>
            <w:r>
              <w:rPr>
                <w:b w:val="0"/>
                <w:i w:val="0"/>
              </w:rPr>
              <w:t>一般就労が困難な方に生産活動の機会と能力向上支援を提供。</w:t>
            </w:r>
          </w:p>
        </w:tc>
        <w:tc>
          <w:tcPr>
            <w:tcW w:type="dxa" w:w="2880"/>
          </w:tcPr>
          <w:p>
            <w:r/>
            <w:r>
              <w:rPr>
                <w:b w:val="0"/>
                <w:i w:val="0"/>
              </w:rPr>
              <w:t>訓練等給付費＋工賃</w:t>
            </w:r>
          </w:p>
        </w:tc>
      </w:tr>
      <w:tr>
        <w:tc>
          <w:tcPr>
            <w:tcW w:type="dxa" w:w="2880"/>
          </w:tcPr>
          <w:p>
            <w:r/>
            <w:r>
              <w:rPr>
                <w:b/>
                <w:i w:val="0"/>
              </w:rPr>
              <w:t>オンライン就労支援「manaby WORKS」</w:t>
            </w:r>
          </w:p>
        </w:tc>
        <w:tc>
          <w:tcPr>
            <w:tcW w:type="dxa" w:w="2880"/>
          </w:tcPr>
          <w:p>
            <w:r/>
            <w:r>
              <w:rPr>
                <w:b w:val="0"/>
                <w:i w:val="0"/>
              </w:rPr>
              <w:t>既に就労中などで障害福祉サービスを使えない人も利用可能な、</w:t>
            </w:r>
            <w:r>
              <w:rPr>
                <w:b/>
                <w:i w:val="0"/>
              </w:rPr>
              <w:t>キャリアカウンセリング付き定額制eラーニング（サブスク）</w:t>
            </w:r>
            <w:r>
              <w:rPr>
                <w:b w:val="0"/>
                <w:i w:val="0"/>
              </w:rPr>
              <w:t>。</w:t>
            </w:r>
          </w:p>
        </w:tc>
        <w:tc>
          <w:tcPr>
            <w:tcW w:type="dxa" w:w="2880"/>
          </w:tcPr>
          <w:p>
            <w:r/>
            <w:r>
              <w:rPr>
                <w:b w:val="0"/>
                <w:i w:val="0"/>
              </w:rPr>
              <w:t>月額課金（B2C／自己負担）</w:t>
            </w:r>
          </w:p>
        </w:tc>
      </w:tr>
      <w:tr>
        <w:tc>
          <w:tcPr>
            <w:tcW w:type="dxa" w:w="2880"/>
          </w:tcPr>
          <w:p>
            <w:r/>
            <w:r>
              <w:rPr>
                <w:b/>
                <w:i w:val="0"/>
              </w:rPr>
              <w:t>SES事業「manaby TECHNO」</w:t>
            </w:r>
          </w:p>
        </w:tc>
        <w:tc>
          <w:tcPr>
            <w:tcW w:type="dxa" w:w="2880"/>
          </w:tcPr>
          <w:p>
            <w:r/>
            <w:r>
              <w:rPr>
                <w:b w:val="0"/>
                <w:i w:val="0"/>
              </w:rPr>
              <w:t>システムエンジニアリングサービス。訓練修了者などの就労の出口・人材活用。</w:t>
            </w:r>
          </w:p>
        </w:tc>
        <w:tc>
          <w:tcPr>
            <w:tcW w:type="dxa" w:w="2880"/>
          </w:tcPr>
          <w:p>
            <w:r/>
            <w:r>
              <w:rPr>
                <w:b w:val="0"/>
                <w:i w:val="0"/>
              </w:rPr>
              <w:t>業務委託・人材サービス収入</w:t>
            </w:r>
          </w:p>
        </w:tc>
      </w:tr>
      <w:tr>
        <w:tc>
          <w:tcPr>
            <w:tcW w:type="dxa" w:w="2880"/>
          </w:tcPr>
          <w:p>
            <w:r/>
            <w:r>
              <w:rPr>
                <w:b/>
                <w:i w:val="0"/>
              </w:rPr>
              <w:t>障害児通所支援「バンビ・アイランド」</w:t>
            </w:r>
          </w:p>
        </w:tc>
        <w:tc>
          <w:tcPr>
            <w:tcW w:type="dxa" w:w="2880"/>
          </w:tcPr>
          <w:p>
            <w:r/>
            <w:r>
              <w:rPr>
                <w:b w:val="0"/>
                <w:i w:val="0"/>
              </w:rPr>
              <w:t>児童発達支援・放課後等デイサービス。</w:t>
            </w:r>
          </w:p>
        </w:tc>
        <w:tc>
          <w:tcPr>
            <w:tcW w:type="dxa" w:w="2880"/>
          </w:tcPr>
          <w:p>
            <w:r/>
            <w:r>
              <w:rPr>
                <w:b w:val="0"/>
                <w:i w:val="0"/>
              </w:rPr>
              <w:t>障害児通所給付費</w:t>
            </w:r>
          </w:p>
        </w:tc>
      </w:tr>
      <w:tr>
        <w:tc>
          <w:tcPr>
            <w:tcW w:type="dxa" w:w="2880"/>
          </w:tcPr>
          <w:p>
            <w:r/>
            <w:r>
              <w:rPr>
                <w:b/>
                <w:i w:val="0"/>
              </w:rPr>
              <w:t>法人向けコンサル／eラーニング外販「マナe」</w:t>
            </w:r>
          </w:p>
        </w:tc>
        <w:tc>
          <w:tcPr>
            <w:tcW w:type="dxa" w:w="2880"/>
          </w:tcPr>
          <w:p>
            <w:r/>
            <w:r>
              <w:rPr>
                <w:b w:val="0"/>
                <w:i w:val="0"/>
              </w:rPr>
              <w:t>自社開発eラーニングを</w:t>
            </w:r>
            <w:r>
              <w:rPr>
                <w:b/>
                <w:i w:val="0"/>
              </w:rPr>
              <w:t>他の就労支援事業所へ外販</w:t>
            </w:r>
            <w:r>
              <w:rPr>
                <w:b w:val="0"/>
                <w:i w:val="0"/>
              </w:rPr>
              <w:t>（全国50か所以上で利用）。</w:t>
            </w:r>
          </w:p>
        </w:tc>
        <w:tc>
          <w:tcPr>
            <w:tcW w:type="dxa" w:w="2880"/>
          </w:tcPr>
          <w:p>
            <w:r/>
            <w:r>
              <w:rPr>
                <w:b w:val="0"/>
                <w:i w:val="0"/>
              </w:rPr>
              <w:t>SaaS／ライセンス収入</w:t>
            </w:r>
          </w:p>
        </w:tc>
      </w:tr>
    </w:tbl>
    <w:p/>
    <w:p>
      <w:pPr>
        <w:spacing w:before="80" w:after="80"/>
        <w:ind w:left="432"/>
        <w:shd w:val="clear" w:color="auto" w:fill="F2F2F2"/>
      </w:pPr>
      <w:r>
        <w:rPr>
          <w:b w:val="0"/>
          <w:i/>
        </w:rPr>
        <w:t>※ 会計上は上記すべてを</w:t>
      </w:r>
      <w:r>
        <w:rPr>
          <w:b/>
          <w:i/>
        </w:rPr>
        <w:t>「就労支援事業」の単一セグメント</w:t>
      </w:r>
      <w:r>
        <w:rPr>
          <w:b w:val="0"/>
          <w:i/>
        </w:rPr>
        <w:t>として開示しており、サービス別の売上・利益の内訳は非開示。したがって各サービスの貢献度は定性的な推定にとどまる（＝開示の厚みは一般市場より劣る）。</w:t>
      </w:r>
    </w:p>
    <w:p>
      <w:pPr>
        <w:pStyle w:val="Heading2"/>
      </w:pPr>
      <w:r>
        <w:rPr>
          <w:b w:val="0"/>
          <w:i w:val="0"/>
        </w:rPr>
        <w:t>3.2 ビジネスモデルの核心：「マナe」と在宅就労</w:t>
      </w:r>
    </w:p>
    <w:p>
      <w:pPr>
        <w:pStyle w:val="ListBullet"/>
      </w:pPr>
      <w:r>
        <w:rPr>
          <w:b/>
          <w:i w:val="0"/>
        </w:rPr>
        <w:t>マナe（eラーニング）</w:t>
      </w:r>
      <w:r>
        <w:rPr>
          <w:b w:val="0"/>
          <w:i w:val="0"/>
        </w:rPr>
        <w:t>：事務・デザイン・プログラミングなど</w:t>
      </w:r>
      <w:r>
        <w:rPr>
          <w:b/>
          <w:i w:val="0"/>
        </w:rPr>
        <w:t>1,500以上の動画教材</w:t>
      </w:r>
      <w:r>
        <w:rPr>
          <w:b w:val="0"/>
          <w:i w:val="0"/>
        </w:rPr>
        <w:t>を自社開発。利用者は自分のペースで、在宅と通所を組み合わせて学習できる。</w:t>
      </w:r>
    </w:p>
    <w:p>
      <w:pPr>
        <w:pStyle w:val="ListBullet"/>
      </w:pPr>
      <w:r>
        <w:rPr>
          <w:b/>
          <w:i w:val="0"/>
        </w:rPr>
        <w:t>在宅訓練・在宅就労</w:t>
      </w:r>
      <w:r>
        <w:rPr>
          <w:b w:val="0"/>
          <w:i w:val="0"/>
        </w:rPr>
        <w:t>：創業時から在宅就労訓練を提供。</w:t>
      </w:r>
      <w:r>
        <w:rPr>
          <w:b/>
          <w:i w:val="0"/>
        </w:rPr>
        <w:t>就職者の約21.4%が在宅就労を実現</w:t>
      </w:r>
      <w:r>
        <w:rPr>
          <w:b w:val="0"/>
          <w:i w:val="0"/>
        </w:rPr>
        <w:t>しており、通所型が主流の業界において明確な差別化軸。</w:t>
      </w:r>
    </w:p>
    <w:p>
      <w:pPr>
        <w:pStyle w:val="ListBullet"/>
      </w:pPr>
      <w:r>
        <w:rPr>
          <w:b/>
          <w:i w:val="0"/>
        </w:rPr>
        <w:t>CSP（Change Social Partner）</w:t>
      </w:r>
      <w:r>
        <w:rPr>
          <w:b w:val="0"/>
          <w:i w:val="0"/>
        </w:rPr>
        <w:t>：manaby独自のフランチャイズ制度。ミッションに共感するパートナーが事業所を運営する形で、</w:t>
      </w:r>
      <w:r>
        <w:rPr>
          <w:b/>
          <w:i w:val="0"/>
        </w:rPr>
        <w:t>自己資本を抑えながら拠点網を拡大</w:t>
      </w:r>
      <w:r>
        <w:rPr>
          <w:b w:val="0"/>
          <w:i w:val="0"/>
        </w:rPr>
        <w:t>できるアセットライト型の成長エンジン。</w:t>
      </w:r>
    </w:p>
    <w:p>
      <w:pPr>
        <w:pStyle w:val="Heading2"/>
      </w:pPr>
      <w:r>
        <w:rPr>
          <w:b w:val="0"/>
          <w:i w:val="0"/>
        </w:rPr>
        <w:t>3.3 ユニットエコノミクス（業界構造からの推定）</w:t>
      </w:r>
    </w:p>
    <w:p>
      <w:r>
        <w:rPr>
          <w:b w:val="0"/>
          <w:i w:val="0"/>
        </w:rPr>
        <w:t>就労移行支援事業の収益構造は以下の特徴を持つ：</w:t>
      </w:r>
    </w:p>
    <w:p>
      <w:pPr>
        <w:pStyle w:val="ListBullet"/>
      </w:pPr>
      <w:r>
        <w:rPr>
          <w:b/>
          <w:i w:val="0"/>
        </w:rPr>
        <w:t>基本報酬は「前年度の就職・定着実績」で単価が変動</w:t>
      </w:r>
      <w:r>
        <w:rPr>
          <w:b w:val="0"/>
          <w:i w:val="0"/>
        </w:rPr>
        <w:t>する成果連動型。実績の高い事業所ほど高単価となるため、</w:t>
      </w:r>
      <w:r>
        <w:rPr>
          <w:b/>
          <w:i w:val="0"/>
        </w:rPr>
        <w:t>質の高い支援が直接収益に効く</w:t>
      </w:r>
      <w:r>
        <w:rPr>
          <w:b w:val="0"/>
          <w:i w:val="0"/>
        </w:rPr>
        <w:t>好循環構造。</w:t>
      </w:r>
    </w:p>
    <w:p>
      <w:pPr>
        <w:pStyle w:val="ListBullet"/>
      </w:pPr>
      <w:r>
        <w:rPr>
          <w:b w:val="0"/>
          <w:i w:val="0"/>
        </w:rPr>
        <w:t>新規開設事業所は</w:t>
      </w:r>
      <w:r>
        <w:rPr>
          <w:b/>
          <w:i w:val="0"/>
        </w:rPr>
        <w:t>定員充足（利用者獲得）と就職実績の積み上げに1〜2年を要し、その間は赤字先行</w:t>
      </w:r>
      <w:r>
        <w:rPr>
          <w:b w:val="0"/>
          <w:i w:val="0"/>
        </w:rPr>
        <w:t>となりやすい。これが同社の利益のボラティリティ（後述）の主因。</w:t>
      </w:r>
    </w:p>
    <w:p>
      <w:pPr>
        <w:pStyle w:val="ListBullet"/>
      </w:pPr>
      <w:r>
        <w:rPr>
          <w:b w:val="0"/>
          <w:i w:val="0"/>
        </w:rPr>
        <w:t>1事業所あたり定員は20名規模が一般的で、稼働率が損益分岐点（おおむね定員の6〜7割）を超えると急速に黒字化する</w:t>
      </w:r>
      <w:r>
        <w:rPr>
          <w:b/>
          <w:i w:val="0"/>
        </w:rPr>
        <w:t>オペレーティング・レバレッジ型</w:t>
      </w:r>
      <w:r>
        <w:rPr>
          <w:b w:val="0"/>
          <w:i w:val="0"/>
        </w:rPr>
        <w:t>の損益構造。</w:t>
      </w:r>
    </w:p>
    <w:p>
      <w:pPr>
        <w:spacing w:before="80" w:after="80"/>
        <w:ind w:left="432"/>
        <w:shd w:val="clear" w:color="auto" w:fill="F2F2F2"/>
      </w:pPr>
      <w:r>
        <w:rPr>
          <w:b/>
          <w:i/>
        </w:rPr>
        <w:t>投資銀行コメント：</w:t>
      </w:r>
      <w:r>
        <w:rPr>
          <w:b w:val="0"/>
          <w:i/>
        </w:rPr>
        <w:t xml:space="preserve"> manabyの強みは「eラーニング資産（マナe）の横展開による限界費用の低さ」と「在宅就労ノウハウによる就職実績の高さ＝報酬単価上昇」の組み合わせにある。一方、多店舗ロールアウト型ビジネスの宿命として、出店ペースを上げるほど短期利益は圧迫される。</w:t>
      </w:r>
      <w:r>
        <w:rPr>
          <w:b/>
          <w:i/>
        </w:rPr>
        <w:t>「出店スピード」と「単年度黒字」はトレードオフ</w:t>
      </w:r>
      <w:r>
        <w:rPr>
          <w:b w:val="0"/>
          <w:i/>
        </w:rPr>
        <w:t>であり、経営の意思決定がそのまま業績の見え方を左右する。</w:t>
      </w:r>
    </w:p>
    <w:p>
      <w:pPr>
        <w:pStyle w:val="Heading1"/>
      </w:pPr>
      <w:r>
        <w:rPr>
          <w:b w:val="0"/>
          <w:i w:val="0"/>
        </w:rPr>
        <w:t>4. 業界環境・市場分析</w:t>
      </w:r>
    </w:p>
    <w:p>
      <w:pPr>
        <w:pStyle w:val="Heading2"/>
      </w:pPr>
      <w:r>
        <w:rPr>
          <w:b w:val="0"/>
          <w:i w:val="0"/>
        </w:rPr>
        <w:t>4.1 市場規模とドライバー</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指標</w:t>
            </w:r>
          </w:p>
        </w:tc>
        <w:tc>
          <w:tcPr>
            <w:tcW w:type="dxa" w:w="2880"/>
            <w:shd w:val="clear" w:color="auto" w:fill="D9E2F3"/>
          </w:tcPr>
          <w:p>
            <w:r>
              <w:rPr>
                <w:b/>
              </w:rPr>
            </w:r>
            <w:r>
              <w:rPr>
                <w:b/>
                <w:i w:val="0"/>
              </w:rPr>
              <w:t>数値</w:t>
            </w:r>
          </w:p>
        </w:tc>
        <w:tc>
          <w:tcPr>
            <w:tcW w:type="dxa" w:w="2880"/>
            <w:shd w:val="clear" w:color="auto" w:fill="D9E2F3"/>
          </w:tcPr>
          <w:p>
            <w:r>
              <w:rPr>
                <w:b/>
              </w:rPr>
            </w:r>
            <w:r>
              <w:rPr>
                <w:b/>
                <w:i w:val="0"/>
              </w:rPr>
              <w:t>出所</w:t>
            </w:r>
          </w:p>
        </w:tc>
      </w:tr>
      <w:tr>
        <w:tc>
          <w:tcPr>
            <w:tcW w:type="dxa" w:w="2880"/>
          </w:tcPr>
          <w:p>
            <w:r/>
            <w:r>
              <w:rPr>
                <w:b w:val="0"/>
                <w:i w:val="0"/>
              </w:rPr>
              <w:t>障害者就労支援サービス市場</w:t>
            </w:r>
          </w:p>
        </w:tc>
        <w:tc>
          <w:tcPr>
            <w:tcW w:type="dxa" w:w="2880"/>
          </w:tcPr>
          <w:p>
            <w:r/>
            <w:r>
              <w:rPr>
                <w:b/>
                <w:i w:val="0"/>
              </w:rPr>
              <w:t>2027年に約980億円規模</w:t>
            </w:r>
            <w:r>
              <w:rPr>
                <w:b w:val="0"/>
                <w:i w:val="0"/>
              </w:rPr>
              <w:t>へ拡大見込み</w:t>
            </w:r>
          </w:p>
        </w:tc>
        <w:tc>
          <w:tcPr>
            <w:tcW w:type="dxa" w:w="2880"/>
          </w:tcPr>
          <w:p>
            <w:r/>
            <w:r>
              <w:rPr>
                <w:b w:val="0"/>
                <w:i w:val="0"/>
              </w:rPr>
              <w:t>日本能率協会総合研究所（JMAR）</w:t>
            </w:r>
          </w:p>
        </w:tc>
      </w:tr>
      <w:tr>
        <w:tc>
          <w:tcPr>
            <w:tcW w:type="dxa" w:w="2880"/>
          </w:tcPr>
          <w:p>
            <w:r/>
            <w:r>
              <w:rPr>
                <w:b w:val="0"/>
                <w:i w:val="0"/>
              </w:rPr>
              <w:t>就労移行支援 利用者数</w:t>
            </w:r>
          </w:p>
        </w:tc>
        <w:tc>
          <w:tcPr>
            <w:tcW w:type="dxa" w:w="2880"/>
          </w:tcPr>
          <w:p>
            <w:r/>
            <w:r>
              <w:rPr>
                <w:b w:val="0"/>
                <w:i w:val="0"/>
              </w:rPr>
              <w:t>約40,288人（2020年度）</w:t>
            </w:r>
          </w:p>
        </w:tc>
        <w:tc>
          <w:tcPr>
            <w:tcW w:type="dxa" w:w="2880"/>
          </w:tcPr>
          <w:p>
            <w:r/>
            <w:r>
              <w:rPr>
                <w:b w:val="0"/>
                <w:i w:val="0"/>
              </w:rPr>
              <w:t>業界統計</w:t>
            </w:r>
          </w:p>
        </w:tc>
      </w:tr>
      <w:tr>
        <w:tc>
          <w:tcPr>
            <w:tcW w:type="dxa" w:w="2880"/>
          </w:tcPr>
          <w:p>
            <w:r/>
            <w:r>
              <w:rPr>
                <w:b w:val="0"/>
                <w:i w:val="0"/>
              </w:rPr>
              <w:t>就労移行支援 事業所数</w:t>
            </w:r>
          </w:p>
        </w:tc>
        <w:tc>
          <w:tcPr>
            <w:tcW w:type="dxa" w:w="2880"/>
          </w:tcPr>
          <w:p>
            <w:r/>
            <w:r>
              <w:rPr>
                <w:b w:val="0"/>
                <w:i w:val="0"/>
              </w:rPr>
              <w:t>約3,301か所</w:t>
            </w:r>
          </w:p>
        </w:tc>
        <w:tc>
          <w:tcPr>
            <w:tcW w:type="dxa" w:w="2880"/>
          </w:tcPr>
          <w:p>
            <w:r/>
            <w:r>
              <w:rPr>
                <w:b w:val="0"/>
                <w:i w:val="0"/>
              </w:rPr>
              <w:t>業界統計</w:t>
            </w:r>
          </w:p>
        </w:tc>
      </w:tr>
    </w:tbl>
    <w:p/>
    <w:p>
      <w:pPr>
        <w:pStyle w:val="Heading2"/>
      </w:pPr>
      <w:r>
        <w:rPr>
          <w:b w:val="0"/>
          <w:i w:val="0"/>
        </w:rPr>
        <w:t>4.2 最大の構造的追い風：法定雇用率の引き上げ</w:t>
      </w:r>
    </w:p>
    <w:p>
      <w:r>
        <w:rPr>
          <w:b w:val="0"/>
          <w:i w:val="0"/>
        </w:rPr>
        <w:t>民間企業の障害者法定雇用率は、政策的に段階的引き上げが確定している：</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時期</w:t>
            </w:r>
          </w:p>
        </w:tc>
        <w:tc>
          <w:tcPr>
            <w:tcW w:type="dxa" w:w="2880"/>
            <w:shd w:val="clear" w:color="auto" w:fill="D9E2F3"/>
          </w:tcPr>
          <w:p>
            <w:r>
              <w:rPr>
                <w:b/>
              </w:rPr>
            </w:r>
            <w:r>
              <w:rPr>
                <w:b/>
                <w:i w:val="0"/>
              </w:rPr>
              <w:t>法定雇用率</w:t>
            </w:r>
          </w:p>
        </w:tc>
        <w:tc>
          <w:tcPr>
            <w:tcW w:type="dxa" w:w="2880"/>
            <w:shd w:val="clear" w:color="auto" w:fill="D9E2F3"/>
          </w:tcPr>
          <w:p>
            <w:r>
              <w:rPr>
                <w:b/>
              </w:rPr>
            </w:r>
            <w:r>
              <w:rPr>
                <w:b/>
                <w:i w:val="0"/>
              </w:rPr>
              <w:t>雇用義務の対象企業</w:t>
            </w:r>
          </w:p>
        </w:tc>
      </w:tr>
      <w:tr>
        <w:tc>
          <w:tcPr>
            <w:tcW w:type="dxa" w:w="2880"/>
          </w:tcPr>
          <w:p>
            <w:r/>
            <w:r>
              <w:rPr>
                <w:b w:val="0"/>
                <w:i w:val="0"/>
              </w:rPr>
              <w:t>～2024年3月</w:t>
            </w:r>
          </w:p>
        </w:tc>
        <w:tc>
          <w:tcPr>
            <w:tcW w:type="dxa" w:w="2880"/>
          </w:tcPr>
          <w:p>
            <w:r/>
            <w:r>
              <w:rPr>
                <w:b w:val="0"/>
                <w:i w:val="0"/>
              </w:rPr>
              <w:t>2.3%</w:t>
            </w:r>
          </w:p>
        </w:tc>
        <w:tc>
          <w:tcPr>
            <w:tcW w:type="dxa" w:w="2880"/>
          </w:tcPr>
          <w:p>
            <w:r/>
            <w:r>
              <w:rPr>
                <w:b w:val="0"/>
                <w:i w:val="0"/>
              </w:rPr>
              <w:t>従業員43.5人以上</w:t>
            </w:r>
          </w:p>
        </w:tc>
      </w:tr>
      <w:tr>
        <w:tc>
          <w:tcPr>
            <w:tcW w:type="dxa" w:w="2880"/>
          </w:tcPr>
          <w:p>
            <w:r/>
            <w:r>
              <w:rPr>
                <w:b/>
                <w:i w:val="0"/>
              </w:rPr>
              <w:t>2024年4月～</w:t>
            </w:r>
          </w:p>
        </w:tc>
        <w:tc>
          <w:tcPr>
            <w:tcW w:type="dxa" w:w="2880"/>
          </w:tcPr>
          <w:p>
            <w:r/>
            <w:r>
              <w:rPr>
                <w:b/>
                <w:i w:val="0"/>
              </w:rPr>
              <w:t>2.5%</w:t>
            </w:r>
          </w:p>
        </w:tc>
        <w:tc>
          <w:tcPr>
            <w:tcW w:type="dxa" w:w="2880"/>
          </w:tcPr>
          <w:p>
            <w:r/>
            <w:r>
              <w:rPr>
                <w:b w:val="0"/>
                <w:i w:val="0"/>
              </w:rPr>
              <w:t>従業員40.0人以上</w:t>
            </w:r>
          </w:p>
        </w:tc>
      </w:tr>
      <w:tr>
        <w:tc>
          <w:tcPr>
            <w:tcW w:type="dxa" w:w="2880"/>
          </w:tcPr>
          <w:p>
            <w:r/>
            <w:r>
              <w:rPr>
                <w:b/>
                <w:i w:val="0"/>
              </w:rPr>
              <w:t>2026年7月～</w:t>
            </w:r>
          </w:p>
        </w:tc>
        <w:tc>
          <w:tcPr>
            <w:tcW w:type="dxa" w:w="2880"/>
          </w:tcPr>
          <w:p>
            <w:r/>
            <w:r>
              <w:rPr>
                <w:b/>
                <w:i w:val="0"/>
              </w:rPr>
              <w:t>2.7%</w:t>
            </w:r>
          </w:p>
        </w:tc>
        <w:tc>
          <w:tcPr>
            <w:tcW w:type="dxa" w:w="2880"/>
          </w:tcPr>
          <w:p>
            <w:r/>
            <w:r>
              <w:rPr>
                <w:b w:val="0"/>
                <w:i w:val="0"/>
              </w:rPr>
              <w:t>従業員37.5人以上</w:t>
            </w:r>
          </w:p>
        </w:tc>
      </w:tr>
    </w:tbl>
    <w:p/>
    <w:p>
      <w:pPr>
        <w:pStyle w:val="ListBullet"/>
      </w:pPr>
      <w:r>
        <w:rPr>
          <w:b w:val="0"/>
          <w:i w:val="0"/>
        </w:rPr>
        <w:t>雇用率の上昇と対象企業の裾野拡大により、</w:t>
      </w:r>
      <w:r>
        <w:rPr>
          <w:b/>
          <w:i w:val="0"/>
        </w:rPr>
        <w:t>企業側の障害者採用ニーズが構造的に増加</w:t>
      </w:r>
      <w:r>
        <w:rPr>
          <w:b w:val="0"/>
          <w:i w:val="0"/>
        </w:rPr>
        <w:t>。これは就労移行支援＝「企業に就職できる人材を育てて送り出す」サービスへの需要を直接押し上げる。</w:t>
      </w:r>
    </w:p>
    <w:p>
      <w:pPr>
        <w:pStyle w:val="ListBullet"/>
      </w:pPr>
      <w:r>
        <w:rPr>
          <w:b w:val="0"/>
          <w:i w:val="0"/>
        </w:rPr>
        <w:t>特に2026年7月の2.7%への引き上げは、本レポート作成時点の直近イベントであり、</w:t>
      </w:r>
      <w:r>
        <w:rPr>
          <w:b/>
          <w:i w:val="0"/>
        </w:rPr>
        <w:t>FY2026〜FY2027の需要追い風</w:t>
      </w:r>
      <w:r>
        <w:rPr>
          <w:b w:val="0"/>
          <w:i w:val="0"/>
        </w:rPr>
        <w:t>として効いてくる。</w:t>
      </w:r>
    </w:p>
    <w:p>
      <w:pPr>
        <w:pStyle w:val="Heading2"/>
      </w:pPr>
      <w:r>
        <w:rPr>
          <w:b w:val="0"/>
          <w:i w:val="0"/>
        </w:rPr>
        <w:t>4.3 競合環境とポジショニング</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i w:val="0"/>
              </w:rPr>
              <w:t>企業</w:t>
            </w:r>
          </w:p>
        </w:tc>
        <w:tc>
          <w:tcPr>
            <w:tcW w:type="dxa" w:w="2160"/>
            <w:shd w:val="clear" w:color="auto" w:fill="D9E2F3"/>
          </w:tcPr>
          <w:p>
            <w:r>
              <w:rPr>
                <w:b/>
              </w:rPr>
            </w:r>
            <w:r>
              <w:rPr>
                <w:b/>
                <w:i w:val="0"/>
              </w:rPr>
              <w:t>上場</w:t>
            </w:r>
          </w:p>
        </w:tc>
        <w:tc>
          <w:tcPr>
            <w:tcW w:type="dxa" w:w="2160"/>
            <w:shd w:val="clear" w:color="auto" w:fill="D9E2F3"/>
          </w:tcPr>
          <w:p>
            <w:r>
              <w:rPr>
                <w:b/>
              </w:rPr>
            </w:r>
            <w:r>
              <w:rPr>
                <w:b/>
                <w:i w:val="0"/>
              </w:rPr>
              <w:t>拠点数（就労移行）</w:t>
            </w:r>
          </w:p>
        </w:tc>
        <w:tc>
          <w:tcPr>
            <w:tcW w:type="dxa" w:w="2160"/>
            <w:shd w:val="clear" w:color="auto" w:fill="D9E2F3"/>
          </w:tcPr>
          <w:p>
            <w:r>
              <w:rPr>
                <w:b/>
              </w:rPr>
            </w:r>
            <w:r>
              <w:rPr>
                <w:b/>
                <w:i w:val="0"/>
              </w:rPr>
              <w:t>特徴</w:t>
            </w:r>
          </w:p>
        </w:tc>
      </w:tr>
      <w:tr>
        <w:tc>
          <w:tcPr>
            <w:tcW w:type="dxa" w:w="2160"/>
          </w:tcPr>
          <w:p>
            <w:r/>
            <w:r>
              <w:rPr>
                <w:b/>
                <w:i w:val="0"/>
              </w:rPr>
              <w:t>LITALICO（7366）</w:t>
            </w:r>
          </w:p>
        </w:tc>
        <w:tc>
          <w:tcPr>
            <w:tcW w:type="dxa" w:w="2160"/>
          </w:tcPr>
          <w:p>
            <w:r/>
            <w:r>
              <w:rPr>
                <w:b w:val="0"/>
                <w:i w:val="0"/>
              </w:rPr>
              <w:t>東証プライム</w:t>
            </w:r>
          </w:p>
        </w:tc>
        <w:tc>
          <w:tcPr>
            <w:tcW w:type="dxa" w:w="2160"/>
          </w:tcPr>
          <w:p>
            <w:r/>
            <w:r>
              <w:rPr>
                <w:b w:val="0"/>
                <w:i w:val="0"/>
              </w:rPr>
              <w:t>LITALICOワークス 約127拠点</w:t>
            </w:r>
          </w:p>
        </w:tc>
        <w:tc>
          <w:tcPr>
            <w:tcW w:type="dxa" w:w="2160"/>
          </w:tcPr>
          <w:p>
            <w:r/>
            <w:r>
              <w:rPr>
                <w:b w:val="0"/>
                <w:i w:val="0"/>
              </w:rPr>
              <w:t>業界最大手。累計17,000名以上の就職支援、定着率90%前後。</w:t>
            </w:r>
          </w:p>
        </w:tc>
      </w:tr>
      <w:tr>
        <w:tc>
          <w:tcPr>
            <w:tcW w:type="dxa" w:w="2160"/>
          </w:tcPr>
          <w:p>
            <w:r/>
            <w:r>
              <w:rPr>
                <w:b/>
                <w:i w:val="0"/>
              </w:rPr>
              <w:t>ウェルビー</w:t>
            </w:r>
          </w:p>
        </w:tc>
        <w:tc>
          <w:tcPr>
            <w:tcW w:type="dxa" w:w="2160"/>
          </w:tcPr>
          <w:p>
            <w:r/>
            <w:r>
              <w:rPr>
                <w:b w:val="0"/>
                <w:i w:val="0"/>
              </w:rPr>
              <w:t>（非上場／旧上場）</w:t>
            </w:r>
          </w:p>
        </w:tc>
        <w:tc>
          <w:tcPr>
            <w:tcW w:type="dxa" w:w="2160"/>
          </w:tcPr>
          <w:p>
            <w:r/>
            <w:r>
              <w:rPr>
                <w:b w:val="0"/>
                <w:i w:val="0"/>
              </w:rPr>
              <w:t>約114拠点</w:t>
            </w:r>
          </w:p>
        </w:tc>
        <w:tc>
          <w:tcPr>
            <w:tcW w:type="dxa" w:w="2160"/>
          </w:tcPr>
          <w:p>
            <w:r/>
            <w:r>
              <w:rPr>
                <w:b w:val="0"/>
                <w:i w:val="0"/>
              </w:rPr>
              <w:t>大手。LITALICOの主要競合。</w:t>
            </w:r>
          </w:p>
        </w:tc>
      </w:tr>
      <w:tr>
        <w:tc>
          <w:tcPr>
            <w:tcW w:type="dxa" w:w="2160"/>
          </w:tcPr>
          <w:p>
            <w:r/>
            <w:r>
              <w:rPr>
                <w:b/>
                <w:i w:val="0"/>
              </w:rPr>
              <w:t>manaby（9222）</w:t>
            </w:r>
          </w:p>
        </w:tc>
        <w:tc>
          <w:tcPr>
            <w:tcW w:type="dxa" w:w="2160"/>
          </w:tcPr>
          <w:p>
            <w:r/>
            <w:r>
              <w:rPr>
                <w:b w:val="0"/>
                <w:i w:val="0"/>
              </w:rPr>
              <w:t>TPM</w:t>
            </w:r>
          </w:p>
        </w:tc>
        <w:tc>
          <w:tcPr>
            <w:tcW w:type="dxa" w:w="2160"/>
          </w:tcPr>
          <w:p>
            <w:r/>
            <w:r>
              <w:rPr>
                <w:b/>
                <w:i w:val="0"/>
              </w:rPr>
              <w:t>約42拠点（直営＋CSP含む、2025年時点）</w:t>
            </w:r>
          </w:p>
        </w:tc>
        <w:tc>
          <w:tcPr>
            <w:tcW w:type="dxa" w:w="2160"/>
          </w:tcPr>
          <w:p>
            <w:r/>
            <w:r>
              <w:rPr>
                <w:b/>
                <w:i w:val="0"/>
              </w:rPr>
              <w:t>eラーニング×在宅就労に特化したニッチ・ディファレンシエーター</w:t>
            </w:r>
          </w:p>
        </w:tc>
      </w:tr>
      <w:tr>
        <w:tc>
          <w:tcPr>
            <w:tcW w:type="dxa" w:w="2160"/>
          </w:tcPr>
          <w:p>
            <w:r/>
            <w:r>
              <w:rPr>
                <w:b w:val="0"/>
                <w:i w:val="0"/>
              </w:rPr>
              <w:t>その他</w:t>
            </w:r>
          </w:p>
        </w:tc>
        <w:tc>
          <w:tcPr>
            <w:tcW w:type="dxa" w:w="2160"/>
          </w:tcPr>
          <w:p>
            <w:r/>
            <w:r>
              <w:rPr>
                <w:b w:val="0"/>
                <w:i w:val="0"/>
              </w:rPr>
              <w:t>—</w:t>
            </w:r>
          </w:p>
        </w:tc>
        <w:tc>
          <w:tcPr>
            <w:tcW w:type="dxa" w:w="2160"/>
          </w:tcPr>
          <w:p>
            <w:r/>
            <w:r>
              <w:rPr>
                <w:b w:val="0"/>
                <w:i w:val="0"/>
              </w:rPr>
              <w:t>—</w:t>
            </w:r>
          </w:p>
        </w:tc>
        <w:tc>
          <w:tcPr>
            <w:tcW w:type="dxa" w:w="2160"/>
          </w:tcPr>
          <w:p>
            <w:r/>
            <w:r>
              <w:rPr>
                <w:b w:val="0"/>
                <w:i w:val="0"/>
              </w:rPr>
              <w:t>Kaien、ココルポート、atGP（ゼネラルパートナーズ）等</w:t>
            </w:r>
          </w:p>
        </w:tc>
      </w:tr>
    </w:tbl>
    <w:p/>
    <w:p>
      <w:pPr>
        <w:pStyle w:val="ListBullet"/>
      </w:pPr>
      <w:r>
        <w:rPr>
          <w:b w:val="0"/>
          <w:i w:val="0"/>
        </w:rPr>
        <w:t>拠点数・売上規模ではLITALICO（就労支援関連で数十億円規模）やウェルビーに対し</w:t>
      </w:r>
      <w:r>
        <w:rPr>
          <w:b/>
          <w:i w:val="0"/>
        </w:rPr>
        <w:t>1桁小さい</w:t>
      </w:r>
      <w:r>
        <w:rPr>
          <w:b w:val="0"/>
          <w:i w:val="0"/>
        </w:rPr>
        <w:t>が、manabyは「在宅就労・IT職特化」という</w:t>
      </w:r>
      <w:r>
        <w:rPr>
          <w:b/>
          <w:i w:val="0"/>
        </w:rPr>
        <w:t>明確なニッチ・ポジショニング</w:t>
      </w:r>
      <w:r>
        <w:rPr>
          <w:b w:val="0"/>
          <w:i w:val="0"/>
        </w:rPr>
        <w:t>で差別化。</w:t>
      </w:r>
    </w:p>
    <w:p>
      <w:pPr>
        <w:pStyle w:val="ListBullet"/>
      </w:pPr>
      <w:r>
        <w:rPr>
          <w:b w:val="0"/>
          <w:i w:val="0"/>
        </w:rPr>
        <w:t>業界トップのLITALICOでも利用者ベースシェアは数%にとどまり、</w:t>
      </w:r>
      <w:r>
        <w:rPr>
          <w:b/>
          <w:i w:val="0"/>
        </w:rPr>
        <w:t>市場は依然として地域分散・断片的（fragmented）</w:t>
      </w:r>
      <w:r>
        <w:rPr>
          <w:b w:val="0"/>
          <w:i w:val="0"/>
        </w:rPr>
        <w:t>。すなわち、</w:t>
      </w:r>
      <w:r>
        <w:rPr>
          <w:b/>
          <w:i w:val="0"/>
        </w:rPr>
        <w:t>M&amp;Aによる業界再編・ロールアップの余地が大きい</w:t>
      </w:r>
      <w:r>
        <w:rPr>
          <w:b w:val="0"/>
          <w:i w:val="0"/>
        </w:rPr>
        <w:t>領域である。</w:t>
      </w:r>
    </w:p>
    <w:p>
      <w:pPr>
        <w:spacing w:before="80" w:after="80"/>
        <w:ind w:left="432"/>
        <w:shd w:val="clear" w:color="auto" w:fill="F2F2F2"/>
      </w:pPr>
      <w:r>
        <w:rPr>
          <w:b/>
          <w:i/>
        </w:rPr>
        <w:t>投資銀行コメント：</w:t>
      </w:r>
      <w:r>
        <w:rPr>
          <w:b w:val="0"/>
          <w:i/>
        </w:rPr>
        <w:t xml:space="preserve"> 断片的な市場構造は、(1) manabyが買い手として地域事業所を取り込むロールアップ戦略、(2) manabyが大手（LITALICO等）や異業種（介護・人材・教育）プレイヤーの買収対象となるシナリオ、の両面でM&amp;Aのストーリーを描きやすい。AHCグループとの資本提携は、後者の「業界内連携・再編」の布石とも読める。</w:t>
      </w:r>
    </w:p>
    <w:p>
      <w:pPr>
        <w:pStyle w:val="Heading1"/>
      </w:pPr>
      <w:r>
        <w:rPr>
          <w:b w:val="0"/>
          <w:i w:val="0"/>
        </w:rPr>
        <w:t>5. 財務分析</w:t>
      </w:r>
    </w:p>
    <w:p>
      <w:pPr>
        <w:pStyle w:val="Heading2"/>
      </w:pPr>
      <w:r>
        <w:rPr>
          <w:b w:val="0"/>
          <w:i w:val="0"/>
        </w:rPr>
        <w:t>5.1 損益計算書（P/L）の推移</w:t>
      </w:r>
    </w:p>
    <w:p>
      <w:pPr>
        <w:spacing w:before="80" w:after="80"/>
        <w:ind w:left="432"/>
        <w:shd w:val="clear" w:color="auto" w:fill="F2F2F2"/>
      </w:pPr>
      <w:r>
        <w:rPr>
          <w:b w:val="0"/>
          <w:i/>
        </w:rPr>
        <w:t>注：FY＝3月期。FY2022〜FY2025はFY2023・FY2024・FY2025決算短信（原本）からの確定値、FY2026は会社業績予想（2025年5月公表）。表示は百万円（百万円未満切捨て）、利益率は実額ベース。</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shd w:val="clear" w:color="auto" w:fill="D9E2F3"/>
          </w:tcPr>
          <w:p>
            <w:r>
              <w:rPr>
                <w:b/>
              </w:rPr>
            </w:r>
            <w:r>
              <w:rPr>
                <w:b/>
                <w:i w:val="0"/>
              </w:rPr>
              <w:t>項目（百万円）</w:t>
            </w:r>
          </w:p>
        </w:tc>
        <w:tc>
          <w:tcPr>
            <w:tcW w:type="dxa" w:w="1440"/>
            <w:shd w:val="clear" w:color="auto" w:fill="D9E2F3"/>
          </w:tcPr>
          <w:p>
            <w:r>
              <w:rPr>
                <w:b/>
              </w:rPr>
            </w:r>
            <w:r>
              <w:rPr>
                <w:b/>
                <w:i w:val="0"/>
              </w:rPr>
              <w:t>FY2022 (2022/3)</w:t>
            </w:r>
          </w:p>
        </w:tc>
        <w:tc>
          <w:tcPr>
            <w:tcW w:type="dxa" w:w="1440"/>
            <w:shd w:val="clear" w:color="auto" w:fill="D9E2F3"/>
          </w:tcPr>
          <w:p>
            <w:r>
              <w:rPr>
                <w:b/>
              </w:rPr>
            </w:r>
            <w:r>
              <w:rPr>
                <w:b/>
                <w:i w:val="0"/>
              </w:rPr>
              <w:t>FY2023 (2023/3)</w:t>
            </w:r>
          </w:p>
        </w:tc>
        <w:tc>
          <w:tcPr>
            <w:tcW w:type="dxa" w:w="1440"/>
            <w:shd w:val="clear" w:color="auto" w:fill="D9E2F3"/>
          </w:tcPr>
          <w:p>
            <w:r>
              <w:rPr>
                <w:b/>
              </w:rPr>
            </w:r>
            <w:r>
              <w:rPr>
                <w:b/>
                <w:i w:val="0"/>
              </w:rPr>
              <w:t>FY2024 (2024/3)</w:t>
            </w:r>
          </w:p>
        </w:tc>
        <w:tc>
          <w:tcPr>
            <w:tcW w:type="dxa" w:w="1440"/>
            <w:shd w:val="clear" w:color="auto" w:fill="D9E2F3"/>
          </w:tcPr>
          <w:p>
            <w:r>
              <w:rPr>
                <w:b/>
              </w:rPr>
            </w:r>
            <w:r>
              <w:rPr>
                <w:b/>
                <w:i w:val="0"/>
              </w:rPr>
              <w:t>FY2025 (2025/3)</w:t>
            </w:r>
          </w:p>
        </w:tc>
        <w:tc>
          <w:tcPr>
            <w:tcW w:type="dxa" w:w="1440"/>
            <w:shd w:val="clear" w:color="auto" w:fill="D9E2F3"/>
          </w:tcPr>
          <w:p>
            <w:r>
              <w:rPr>
                <w:b/>
              </w:rPr>
            </w:r>
            <w:r>
              <w:rPr>
                <w:b/>
                <w:i w:val="0"/>
              </w:rPr>
              <w:t>FY2026E (2026/3)</w:t>
            </w:r>
          </w:p>
        </w:tc>
      </w:tr>
      <w:tr>
        <w:tc>
          <w:tcPr>
            <w:tcW w:type="dxa" w:w="1440"/>
          </w:tcPr>
          <w:p>
            <w:r/>
            <w:r>
              <w:rPr>
                <w:b w:val="0"/>
                <w:i w:val="0"/>
              </w:rPr>
              <w:t>売上高</w:t>
            </w:r>
          </w:p>
        </w:tc>
        <w:tc>
          <w:tcPr>
            <w:tcW w:type="dxa" w:w="1440"/>
          </w:tcPr>
          <w:p>
            <w:r/>
            <w:r>
              <w:rPr>
                <w:b w:val="0"/>
                <w:i w:val="0"/>
              </w:rPr>
              <w:t>558（+5.4%）</w:t>
            </w:r>
          </w:p>
        </w:tc>
        <w:tc>
          <w:tcPr>
            <w:tcW w:type="dxa" w:w="1440"/>
          </w:tcPr>
          <w:p>
            <w:r/>
            <w:r>
              <w:rPr>
                <w:b w:val="0"/>
                <w:i w:val="0"/>
              </w:rPr>
              <w:t>659（+18.1%）</w:t>
            </w:r>
          </w:p>
        </w:tc>
        <w:tc>
          <w:tcPr>
            <w:tcW w:type="dxa" w:w="1440"/>
          </w:tcPr>
          <w:p>
            <w:r/>
            <w:r>
              <w:rPr>
                <w:b w:val="0"/>
                <w:i w:val="0"/>
              </w:rPr>
              <w:t>864（+31.1%）</w:t>
            </w:r>
          </w:p>
        </w:tc>
        <w:tc>
          <w:tcPr>
            <w:tcW w:type="dxa" w:w="1440"/>
          </w:tcPr>
          <w:p>
            <w:r/>
            <w:r>
              <w:rPr>
                <w:b/>
                <w:i w:val="0"/>
              </w:rPr>
              <w:t>1,021（+18.2%）</w:t>
            </w:r>
          </w:p>
        </w:tc>
        <w:tc>
          <w:tcPr>
            <w:tcW w:type="dxa" w:w="1440"/>
          </w:tcPr>
          <w:p>
            <w:r/>
            <w:r>
              <w:rPr>
                <w:b w:val="0"/>
                <w:i w:val="0"/>
              </w:rPr>
              <w:t>1,306（+27.9%）</w:t>
            </w:r>
          </w:p>
        </w:tc>
      </w:tr>
      <w:tr>
        <w:tc>
          <w:tcPr>
            <w:tcW w:type="dxa" w:w="1440"/>
          </w:tcPr>
          <w:p>
            <w:r/>
            <w:r>
              <w:rPr>
                <w:b w:val="0"/>
                <w:i w:val="0"/>
              </w:rPr>
              <w:t>売上総利益</w:t>
            </w:r>
          </w:p>
        </w:tc>
        <w:tc>
          <w:tcPr>
            <w:tcW w:type="dxa" w:w="1440"/>
          </w:tcPr>
          <w:p>
            <w:r/>
            <w:r>
              <w:rPr>
                <w:b w:val="0"/>
                <w:i w:val="0"/>
              </w:rPr>
              <w:t>151</w:t>
            </w:r>
          </w:p>
        </w:tc>
        <w:tc>
          <w:tcPr>
            <w:tcW w:type="dxa" w:w="1440"/>
          </w:tcPr>
          <w:p>
            <w:r/>
            <w:r>
              <w:rPr>
                <w:b w:val="0"/>
                <w:i w:val="0"/>
              </w:rPr>
              <w:t>125</w:t>
            </w:r>
          </w:p>
        </w:tc>
        <w:tc>
          <w:tcPr>
            <w:tcW w:type="dxa" w:w="1440"/>
          </w:tcPr>
          <w:p>
            <w:r/>
            <w:r>
              <w:rPr>
                <w:b w:val="0"/>
                <w:i w:val="0"/>
              </w:rPr>
              <w:t>210</w:t>
            </w:r>
          </w:p>
        </w:tc>
        <w:tc>
          <w:tcPr>
            <w:tcW w:type="dxa" w:w="1440"/>
          </w:tcPr>
          <w:p>
            <w:r/>
            <w:r>
              <w:rPr>
                <w:b w:val="0"/>
                <w:i w:val="0"/>
              </w:rPr>
              <w:t>223</w:t>
            </w:r>
          </w:p>
        </w:tc>
        <w:tc>
          <w:tcPr>
            <w:tcW w:type="dxa" w:w="1440"/>
          </w:tcPr>
          <w:p>
            <w:r/>
            <w:r>
              <w:rPr>
                <w:b w:val="0"/>
                <w:i w:val="0"/>
              </w:rPr>
              <w:t>n.a.</w:t>
            </w:r>
          </w:p>
        </w:tc>
      </w:tr>
      <w:tr>
        <w:tc>
          <w:tcPr>
            <w:tcW w:type="dxa" w:w="1440"/>
          </w:tcPr>
          <w:p>
            <w:r/>
            <w:r>
              <w:rPr>
                <w:b w:val="0"/>
                <w:i w:val="0"/>
              </w:rPr>
              <w:t>売上総利益率</w:t>
            </w:r>
          </w:p>
        </w:tc>
        <w:tc>
          <w:tcPr>
            <w:tcW w:type="dxa" w:w="1440"/>
          </w:tcPr>
          <w:p>
            <w:r/>
            <w:r>
              <w:rPr>
                <w:b w:val="0"/>
                <w:i w:val="0"/>
              </w:rPr>
              <w:t>27.1%</w:t>
            </w:r>
          </w:p>
        </w:tc>
        <w:tc>
          <w:tcPr>
            <w:tcW w:type="dxa" w:w="1440"/>
          </w:tcPr>
          <w:p>
            <w:r/>
            <w:r>
              <w:rPr>
                <w:b w:val="0"/>
                <w:i w:val="0"/>
              </w:rPr>
              <w:t>19.0%</w:t>
            </w:r>
          </w:p>
        </w:tc>
        <w:tc>
          <w:tcPr>
            <w:tcW w:type="dxa" w:w="1440"/>
          </w:tcPr>
          <w:p>
            <w:r/>
            <w:r>
              <w:rPr>
                <w:b w:val="0"/>
                <w:i w:val="0"/>
              </w:rPr>
              <w:t>24.3%</w:t>
            </w:r>
          </w:p>
        </w:tc>
        <w:tc>
          <w:tcPr>
            <w:tcW w:type="dxa" w:w="1440"/>
          </w:tcPr>
          <w:p>
            <w:r/>
            <w:r>
              <w:rPr>
                <w:b w:val="0"/>
                <w:i w:val="0"/>
              </w:rPr>
              <w:t>21.8%</w:t>
            </w:r>
          </w:p>
        </w:tc>
        <w:tc>
          <w:tcPr>
            <w:tcW w:type="dxa" w:w="1440"/>
          </w:tcPr>
          <w:p>
            <w:r/>
            <w:r>
              <w:rPr>
                <w:b w:val="0"/>
                <w:i w:val="0"/>
              </w:rPr>
              <w:t>n.a.</w:t>
            </w:r>
          </w:p>
        </w:tc>
      </w:tr>
      <w:tr>
        <w:tc>
          <w:tcPr>
            <w:tcW w:type="dxa" w:w="1440"/>
          </w:tcPr>
          <w:p>
            <w:r/>
            <w:r>
              <w:rPr>
                <w:b w:val="0"/>
                <w:i w:val="0"/>
              </w:rPr>
              <w:t>販管費</w:t>
            </w:r>
          </w:p>
        </w:tc>
        <w:tc>
          <w:tcPr>
            <w:tcW w:type="dxa" w:w="1440"/>
          </w:tcPr>
          <w:p>
            <w:r/>
            <w:r>
              <w:rPr>
                <w:b w:val="0"/>
                <w:i w:val="0"/>
              </w:rPr>
              <w:t>160</w:t>
            </w:r>
          </w:p>
        </w:tc>
        <w:tc>
          <w:tcPr>
            <w:tcW w:type="dxa" w:w="1440"/>
          </w:tcPr>
          <w:p>
            <w:r/>
            <w:r>
              <w:rPr>
                <w:b w:val="0"/>
                <w:i w:val="0"/>
              </w:rPr>
              <w:t>203</w:t>
            </w:r>
          </w:p>
        </w:tc>
        <w:tc>
          <w:tcPr>
            <w:tcW w:type="dxa" w:w="1440"/>
          </w:tcPr>
          <w:p>
            <w:r/>
            <w:r>
              <w:rPr>
                <w:b w:val="0"/>
                <w:i w:val="0"/>
              </w:rPr>
              <w:t>193</w:t>
            </w:r>
          </w:p>
        </w:tc>
        <w:tc>
          <w:tcPr>
            <w:tcW w:type="dxa" w:w="1440"/>
          </w:tcPr>
          <w:p>
            <w:r/>
            <w:r>
              <w:rPr>
                <w:b w:val="0"/>
                <w:i w:val="0"/>
              </w:rPr>
              <w:t>242</w:t>
            </w:r>
          </w:p>
        </w:tc>
        <w:tc>
          <w:tcPr>
            <w:tcW w:type="dxa" w:w="1440"/>
          </w:tcPr>
          <w:p>
            <w:r/>
            <w:r>
              <w:rPr>
                <w:b w:val="0"/>
                <w:i w:val="0"/>
              </w:rPr>
              <w:t>n.a.</w:t>
            </w:r>
          </w:p>
        </w:tc>
      </w:tr>
      <w:tr>
        <w:tc>
          <w:tcPr>
            <w:tcW w:type="dxa" w:w="1440"/>
          </w:tcPr>
          <w:p>
            <w:r/>
            <w:r>
              <w:rPr>
                <w:b w:val="0"/>
                <w:i w:val="0"/>
              </w:rPr>
              <w:t>営業損益</w:t>
            </w:r>
          </w:p>
        </w:tc>
        <w:tc>
          <w:tcPr>
            <w:tcW w:type="dxa" w:w="1440"/>
          </w:tcPr>
          <w:p>
            <w:r/>
            <w:r>
              <w:rPr>
                <w:b w:val="0"/>
                <w:i w:val="0"/>
              </w:rPr>
              <w:t>△8</w:t>
            </w:r>
          </w:p>
        </w:tc>
        <w:tc>
          <w:tcPr>
            <w:tcW w:type="dxa" w:w="1440"/>
          </w:tcPr>
          <w:p>
            <w:r/>
            <w:r>
              <w:rPr>
                <w:b w:val="0"/>
                <w:i w:val="0"/>
              </w:rPr>
              <w:t>△78</w:t>
            </w:r>
          </w:p>
        </w:tc>
        <w:tc>
          <w:tcPr>
            <w:tcW w:type="dxa" w:w="1440"/>
          </w:tcPr>
          <w:p>
            <w:r/>
            <w:r>
              <w:rPr>
                <w:b w:val="0"/>
                <w:i w:val="0"/>
              </w:rPr>
              <w:t>+17</w:t>
            </w:r>
          </w:p>
        </w:tc>
        <w:tc>
          <w:tcPr>
            <w:tcW w:type="dxa" w:w="1440"/>
          </w:tcPr>
          <w:p>
            <w:r/>
            <w:r>
              <w:rPr>
                <w:b/>
                <w:i w:val="0"/>
              </w:rPr>
              <w:t>△19</w:t>
            </w:r>
          </w:p>
        </w:tc>
        <w:tc>
          <w:tcPr>
            <w:tcW w:type="dxa" w:w="1440"/>
          </w:tcPr>
          <w:p>
            <w:r/>
            <w:r>
              <w:rPr>
                <w:b w:val="0"/>
                <w:i w:val="0"/>
              </w:rPr>
              <w:t>+19</w:t>
            </w:r>
          </w:p>
        </w:tc>
      </w:tr>
      <w:tr>
        <w:tc>
          <w:tcPr>
            <w:tcW w:type="dxa" w:w="1440"/>
          </w:tcPr>
          <w:p>
            <w:r/>
            <w:r>
              <w:rPr>
                <w:b w:val="0"/>
                <w:i w:val="0"/>
              </w:rPr>
              <w:t>営業利益率</w:t>
            </w:r>
          </w:p>
        </w:tc>
        <w:tc>
          <w:tcPr>
            <w:tcW w:type="dxa" w:w="1440"/>
          </w:tcPr>
          <w:p>
            <w:r/>
            <w:r>
              <w:rPr>
                <w:b w:val="0"/>
                <w:i w:val="0"/>
              </w:rPr>
              <w:t>△1.5%</w:t>
            </w:r>
          </w:p>
        </w:tc>
        <w:tc>
          <w:tcPr>
            <w:tcW w:type="dxa" w:w="1440"/>
          </w:tcPr>
          <w:p>
            <w:r/>
            <w:r>
              <w:rPr>
                <w:b w:val="0"/>
                <w:i w:val="0"/>
              </w:rPr>
              <w:t>△11.8%</w:t>
            </w:r>
          </w:p>
        </w:tc>
        <w:tc>
          <w:tcPr>
            <w:tcW w:type="dxa" w:w="1440"/>
          </w:tcPr>
          <w:p>
            <w:r/>
            <w:r>
              <w:rPr>
                <w:b w:val="0"/>
                <w:i w:val="0"/>
              </w:rPr>
              <w:t>2.0%</w:t>
            </w:r>
          </w:p>
        </w:tc>
        <w:tc>
          <w:tcPr>
            <w:tcW w:type="dxa" w:w="1440"/>
          </w:tcPr>
          <w:p>
            <w:r/>
            <w:r>
              <w:rPr>
                <w:b w:val="0"/>
                <w:i w:val="0"/>
              </w:rPr>
              <w:t>△1.8%</w:t>
            </w:r>
          </w:p>
        </w:tc>
        <w:tc>
          <w:tcPr>
            <w:tcW w:type="dxa" w:w="1440"/>
          </w:tcPr>
          <w:p>
            <w:r/>
            <w:r>
              <w:rPr>
                <w:b w:val="0"/>
                <w:i w:val="0"/>
              </w:rPr>
              <w:t>1.5%</w:t>
            </w:r>
          </w:p>
        </w:tc>
      </w:tr>
      <w:tr>
        <w:tc>
          <w:tcPr>
            <w:tcW w:type="dxa" w:w="1440"/>
          </w:tcPr>
          <w:p>
            <w:r/>
            <w:r>
              <w:rPr>
                <w:b w:val="0"/>
                <w:i w:val="0"/>
              </w:rPr>
              <w:t>経常損益</w:t>
            </w:r>
          </w:p>
        </w:tc>
        <w:tc>
          <w:tcPr>
            <w:tcW w:type="dxa" w:w="1440"/>
          </w:tcPr>
          <w:p>
            <w:r/>
            <w:r>
              <w:rPr>
                <w:b w:val="0"/>
                <w:i w:val="0"/>
              </w:rPr>
              <w:t>△10</w:t>
            </w:r>
          </w:p>
        </w:tc>
        <w:tc>
          <w:tcPr>
            <w:tcW w:type="dxa" w:w="1440"/>
          </w:tcPr>
          <w:p>
            <w:r/>
            <w:r>
              <w:rPr>
                <w:b w:val="0"/>
                <w:i w:val="0"/>
              </w:rPr>
              <w:t>△79</w:t>
            </w:r>
          </w:p>
        </w:tc>
        <w:tc>
          <w:tcPr>
            <w:tcW w:type="dxa" w:w="1440"/>
          </w:tcPr>
          <w:p>
            <w:r/>
            <w:r>
              <w:rPr>
                <w:b w:val="0"/>
                <w:i w:val="0"/>
              </w:rPr>
              <w:t>+17</w:t>
            </w:r>
          </w:p>
        </w:tc>
        <w:tc>
          <w:tcPr>
            <w:tcW w:type="dxa" w:w="1440"/>
          </w:tcPr>
          <w:p>
            <w:r/>
            <w:r>
              <w:rPr>
                <w:b w:val="0"/>
                <w:i w:val="0"/>
              </w:rPr>
              <w:t>△20</w:t>
            </w:r>
          </w:p>
        </w:tc>
        <w:tc>
          <w:tcPr>
            <w:tcW w:type="dxa" w:w="1440"/>
          </w:tcPr>
          <w:p>
            <w:r/>
            <w:r>
              <w:rPr>
                <w:b w:val="0"/>
                <w:i w:val="0"/>
              </w:rPr>
              <w:t>+17</w:t>
            </w:r>
          </w:p>
        </w:tc>
      </w:tr>
      <w:tr>
        <w:tc>
          <w:tcPr>
            <w:tcW w:type="dxa" w:w="1440"/>
          </w:tcPr>
          <w:p>
            <w:r/>
            <w:r>
              <w:rPr>
                <w:b w:val="0"/>
                <w:i w:val="0"/>
              </w:rPr>
              <w:t>当期純損益</w:t>
            </w:r>
          </w:p>
        </w:tc>
        <w:tc>
          <w:tcPr>
            <w:tcW w:type="dxa" w:w="1440"/>
          </w:tcPr>
          <w:p>
            <w:r/>
            <w:r>
              <w:rPr>
                <w:b w:val="0"/>
                <w:i w:val="0"/>
              </w:rPr>
              <w:t>△9</w:t>
            </w:r>
          </w:p>
        </w:tc>
        <w:tc>
          <w:tcPr>
            <w:tcW w:type="dxa" w:w="1440"/>
          </w:tcPr>
          <w:p>
            <w:r/>
            <w:r>
              <w:rPr>
                <w:b/>
                <w:i w:val="0"/>
              </w:rPr>
              <w:t>△53</w:t>
            </w:r>
          </w:p>
        </w:tc>
        <w:tc>
          <w:tcPr>
            <w:tcW w:type="dxa" w:w="1440"/>
          </w:tcPr>
          <w:p>
            <w:r/>
            <w:r>
              <w:rPr>
                <w:b w:val="0"/>
                <w:i w:val="0"/>
              </w:rPr>
              <w:t>+8</w:t>
            </w:r>
          </w:p>
        </w:tc>
        <w:tc>
          <w:tcPr>
            <w:tcW w:type="dxa" w:w="1440"/>
          </w:tcPr>
          <w:p>
            <w:r/>
            <w:r>
              <w:rPr>
                <w:b/>
                <w:i w:val="0"/>
              </w:rPr>
              <w:t>△17</w:t>
            </w:r>
          </w:p>
        </w:tc>
        <w:tc>
          <w:tcPr>
            <w:tcW w:type="dxa" w:w="1440"/>
          </w:tcPr>
          <w:p>
            <w:r/>
            <w:r>
              <w:rPr>
                <w:b w:val="0"/>
                <w:i w:val="0"/>
              </w:rPr>
              <w:t>+3</w:t>
            </w:r>
          </w:p>
        </w:tc>
      </w:tr>
      <w:tr>
        <w:tc>
          <w:tcPr>
            <w:tcW w:type="dxa" w:w="1440"/>
          </w:tcPr>
          <w:p>
            <w:r/>
            <w:r>
              <w:rPr>
                <w:b w:val="0"/>
                <w:i w:val="0"/>
              </w:rPr>
              <w:t>EPS（円）</w:t>
            </w:r>
          </w:p>
        </w:tc>
        <w:tc>
          <w:tcPr>
            <w:tcW w:type="dxa" w:w="1440"/>
          </w:tcPr>
          <w:p>
            <w:r/>
            <w:r>
              <w:rPr>
                <w:b w:val="0"/>
                <w:i w:val="0"/>
              </w:rPr>
              <w:t>△5.82</w:t>
            </w:r>
          </w:p>
        </w:tc>
        <w:tc>
          <w:tcPr>
            <w:tcW w:type="dxa" w:w="1440"/>
          </w:tcPr>
          <w:p>
            <w:r/>
            <w:r>
              <w:rPr>
                <w:b w:val="0"/>
                <w:i w:val="0"/>
              </w:rPr>
              <w:t>△33.71</w:t>
            </w:r>
          </w:p>
        </w:tc>
        <w:tc>
          <w:tcPr>
            <w:tcW w:type="dxa" w:w="1440"/>
          </w:tcPr>
          <w:p>
            <w:r/>
            <w:r>
              <w:rPr>
                <w:b w:val="0"/>
                <w:i w:val="0"/>
              </w:rPr>
              <w:t>5.17</w:t>
            </w:r>
          </w:p>
        </w:tc>
        <w:tc>
          <w:tcPr>
            <w:tcW w:type="dxa" w:w="1440"/>
          </w:tcPr>
          <w:p>
            <w:r/>
            <w:r>
              <w:rPr>
                <w:b w:val="0"/>
                <w:i w:val="0"/>
              </w:rPr>
              <w:t>△10.68</w:t>
            </w:r>
          </w:p>
        </w:tc>
        <w:tc>
          <w:tcPr>
            <w:tcW w:type="dxa" w:w="1440"/>
          </w:tcPr>
          <w:p>
            <w:r/>
            <w:r>
              <w:rPr>
                <w:b w:val="0"/>
                <w:i w:val="0"/>
              </w:rPr>
              <w:t>2.19</w:t>
            </w:r>
          </w:p>
        </w:tc>
      </w:tr>
      <w:tr>
        <w:tc>
          <w:tcPr>
            <w:tcW w:type="dxa" w:w="1440"/>
          </w:tcPr>
          <w:p>
            <w:r/>
            <w:r>
              <w:rPr>
                <w:b w:val="0"/>
                <w:i w:val="0"/>
              </w:rPr>
              <w:t>ROE</w:t>
            </w:r>
          </w:p>
        </w:tc>
        <w:tc>
          <w:tcPr>
            <w:tcW w:type="dxa" w:w="1440"/>
          </w:tcPr>
          <w:p>
            <w:r/>
            <w:r>
              <w:rPr>
                <w:b w:val="0"/>
                <w:i w:val="0"/>
              </w:rPr>
              <w:t>△7.4%</w:t>
            </w:r>
          </w:p>
        </w:tc>
        <w:tc>
          <w:tcPr>
            <w:tcW w:type="dxa" w:w="1440"/>
          </w:tcPr>
          <w:p>
            <w:r/>
            <w:r>
              <w:rPr>
                <w:b w:val="0"/>
                <w:i w:val="0"/>
              </w:rPr>
              <w:t>△57.4%</w:t>
            </w:r>
          </w:p>
        </w:tc>
        <w:tc>
          <w:tcPr>
            <w:tcW w:type="dxa" w:w="1440"/>
          </w:tcPr>
          <w:p>
            <w:r/>
            <w:r>
              <w:rPr>
                <w:b w:val="0"/>
                <w:i w:val="0"/>
              </w:rPr>
              <w:t>11.6%</w:t>
            </w:r>
          </w:p>
        </w:tc>
        <w:tc>
          <w:tcPr>
            <w:tcW w:type="dxa" w:w="1440"/>
          </w:tcPr>
          <w:p>
            <w:r/>
            <w:r>
              <w:rPr>
                <w:b w:val="0"/>
                <w:i w:val="0"/>
              </w:rPr>
              <w:t>△25.6%</w:t>
            </w:r>
          </w:p>
        </w:tc>
        <w:tc>
          <w:tcPr>
            <w:tcW w:type="dxa" w:w="1440"/>
          </w:tcPr>
          <w:p>
            <w:r/>
            <w:r>
              <w:rPr>
                <w:b w:val="0"/>
                <w:i w:val="0"/>
              </w:rPr>
              <w:t>n.a.</w:t>
            </w:r>
          </w:p>
        </w:tc>
      </w:tr>
    </w:tbl>
    <w:p/>
    <w:p>
      <w:pPr>
        <w:spacing w:before="80" w:after="80"/>
        <w:ind w:left="432"/>
        <w:shd w:val="clear" w:color="auto" w:fill="F2F2F2"/>
      </w:pPr>
      <w:r>
        <w:rPr>
          <w:b w:val="0"/>
          <w:i/>
        </w:rPr>
        <w:t>確定値（千円）：売上高 557,931／658,945／863,900／1,021,065／1,305,905、営業損益 △8,375／△78,041／17,406／△18,653／18,968、当期純損益 △9,144／△52,966／8,127／△16,774／3,441。なお1期前のFY2021（2021/3期）売上高は約529百万円（FY2022の前期比+5.4%から逆算）。</w:t>
      </w:r>
    </w:p>
    <w:p>
      <w:pPr>
        <w:spacing w:before="80" w:after="80"/>
        <w:ind w:left="432"/>
        <w:shd w:val="clear" w:color="auto" w:fill="F2F2F2"/>
      </w:pPr>
      <w:r>
        <w:rPr>
          <w:b/>
          <w:i/>
        </w:rPr>
        <w:t>重要な観点：黒字は過去5期で1期のみ。</w:t>
      </w:r>
      <w:r>
        <w:rPr>
          <w:b w:val="0"/>
          <w:i/>
        </w:rPr>
        <w:t xml:space="preserve"> manabyは</w:t>
      </w:r>
      <w:r>
        <w:rPr>
          <w:b/>
          <w:i/>
        </w:rPr>
        <w:t>FY2022→FY2025で唯一FY2024のみが純黒字</w:t>
      </w:r>
      <w:r>
        <w:rPr>
          <w:b w:val="0"/>
          <w:i/>
        </w:rPr>
        <w:t>（+8百万円）で、他は赤字。FY2026計画（+3百万円）が達成できても「2期目の黒字」に過ぎず、</w:t>
      </w:r>
      <w:r>
        <w:rPr>
          <w:b/>
          <w:i/>
        </w:rPr>
        <w:t>「継続的に黒字を出せる事業か」がまだ証明されていない</w:t>
      </w:r>
      <w:r>
        <w:rPr>
          <w:b w:val="0"/>
          <w:i/>
        </w:rPr>
        <w:t>段階にある。</w:t>
      </w:r>
    </w:p>
    <w:p>
      <w:r>
        <w:rPr>
          <w:b/>
          <w:i w:val="0"/>
        </w:rPr>
        <w:t>読み解き：</w:t>
      </w:r>
    </w:p>
    <w:p>
      <w:pPr>
        <w:pStyle w:val="ListNumber"/>
      </w:pPr>
      <w:r>
        <w:rPr>
          <w:b/>
          <w:i w:val="0"/>
        </w:rPr>
        <w:t>FY2022（上場直前）</w:t>
      </w:r>
      <w:r>
        <w:rPr>
          <w:b w:val="0"/>
          <w:i w:val="0"/>
        </w:rPr>
        <w:t>：売上558百万円も小幅赤字（営業△8・純△9百万円）。上場前から薄利・先行投資体質。期末純資産は118.8百万円。</w:t>
      </w:r>
    </w:p>
    <w:p>
      <w:pPr>
        <w:pStyle w:val="ListNumber"/>
      </w:pPr>
      <w:r>
        <w:rPr>
          <w:b/>
          <w:i w:val="0"/>
        </w:rPr>
        <w:t>FY2023（上場直後）</w:t>
      </w:r>
      <w:r>
        <w:rPr>
          <w:b w:val="0"/>
          <w:i w:val="0"/>
        </w:rPr>
        <w:t>：売上+18%も、販管費が売上の30.9%（203百万円）と過大で</w:t>
      </w:r>
      <w:r>
        <w:rPr>
          <w:b/>
          <w:i w:val="0"/>
        </w:rPr>
        <w:t>営業損失△78百万円・純損失△53百万円</w:t>
      </w:r>
      <w:r>
        <w:rPr>
          <w:b w:val="0"/>
          <w:i w:val="0"/>
        </w:rPr>
        <w:t>と急拡大。上場(2022/4)に伴う体制整備・M&amp;A（後述）・マナe開発（無形固定資産取得△64百万円）等の先行投資が重く、純資産は118.8→65.8百万円へ急減。</w:t>
      </w:r>
    </w:p>
    <w:p>
      <w:pPr>
        <w:pStyle w:val="ListNumber"/>
      </w:pPr>
      <w:r>
        <w:rPr>
          <w:b/>
          <w:i w:val="0"/>
        </w:rPr>
        <w:t>FY2024</w:t>
      </w:r>
      <w:r>
        <w:rPr>
          <w:b w:val="0"/>
          <w:i w:val="0"/>
        </w:rPr>
        <w:t>：売上+31.1%と急伸する一方、</w:t>
      </w:r>
      <w:r>
        <w:rPr>
          <w:b/>
          <w:i w:val="0"/>
        </w:rPr>
        <w:t>販管費を193百万円に抑制（売上比22.3%）</w:t>
      </w:r>
      <w:r>
        <w:rPr>
          <w:b w:val="0"/>
          <w:i w:val="0"/>
        </w:rPr>
        <w:t>したことでオペレーティング・レバレッジが効き、</w:t>
      </w:r>
      <w:r>
        <w:rPr>
          <w:b/>
          <w:i w:val="0"/>
        </w:rPr>
        <w:t>営業黒字+17百万円・純黒字+8百万円に転換</w:t>
      </w:r>
      <w:r>
        <w:rPr>
          <w:b w:val="0"/>
          <w:i w:val="0"/>
        </w:rPr>
        <w:t>（唯一の黒字期）。ただし税負担（法人税等調整額+11百万円＝繰延税金資産の取崩）が重く、純利益は税引前23百万円から8百万円に圧縮。</w:t>
      </w:r>
    </w:p>
    <w:p>
      <w:pPr>
        <w:pStyle w:val="ListNumber"/>
      </w:pPr>
      <w:r>
        <w:rPr>
          <w:b/>
          <w:i w:val="0"/>
        </w:rPr>
        <w:t>FY2025</w:t>
      </w:r>
      <w:r>
        <w:rPr>
          <w:b w:val="0"/>
          <w:i w:val="0"/>
        </w:rPr>
        <w:t>：売上+18.2%だが</w:t>
      </w:r>
      <w:r>
        <w:rPr>
          <w:b/>
          <w:i w:val="0"/>
        </w:rPr>
        <w:t>販管費が242百万円（+25%）へ再膨張</w:t>
      </w:r>
      <w:r>
        <w:rPr>
          <w:b w:val="0"/>
          <w:i w:val="0"/>
        </w:rPr>
        <w:t>し売上総利益の伸びを上回ったため、</w:t>
      </w:r>
      <w:r>
        <w:rPr>
          <w:b/>
          <w:i w:val="0"/>
        </w:rPr>
        <w:t>営業損失△19百万円・純損失△17百万円に逆戻り</w:t>
      </w:r>
      <w:r>
        <w:rPr>
          <w:b w:val="0"/>
          <w:i w:val="0"/>
        </w:rPr>
        <w:t>。M&amp;A（山形事業所譲受）・新サービス（放課後等デイ）への先行投資が主因で、典型的な多店舗ロールアウトの「出店痛」。</w:t>
      </w:r>
    </w:p>
    <w:p>
      <w:pPr>
        <w:pStyle w:val="ListNumber"/>
      </w:pPr>
      <w:r>
        <w:rPr>
          <w:b/>
          <w:i w:val="0"/>
        </w:rPr>
        <w:t>FY2026E</w:t>
      </w:r>
      <w:r>
        <w:rPr>
          <w:b w:val="0"/>
          <w:i w:val="0"/>
        </w:rPr>
        <w:t>：売上1,306百万円（+27.9%）と大幅増収計画で、</w:t>
      </w:r>
      <w:r>
        <w:rPr>
          <w:b/>
          <w:i w:val="0"/>
        </w:rPr>
        <w:t>営業利益+19百万円・純利益+3百万円と黒字転換</w:t>
      </w:r>
      <w:r>
        <w:rPr>
          <w:b w:val="0"/>
          <w:i w:val="0"/>
        </w:rPr>
        <w:t>を見込む。ただし営業利益率1.5%・純利益わずか3百万円は</w:t>
      </w:r>
      <w:r>
        <w:rPr>
          <w:b/>
          <w:i w:val="0"/>
        </w:rPr>
        <w:t>極めて薄い損益分岐ライン</w:t>
      </w:r>
      <w:r>
        <w:rPr>
          <w:b w:val="0"/>
          <w:i w:val="0"/>
        </w:rPr>
        <w:t>で、出店ペースや稼働率次第で容易に赤字に振れる。</w:t>
      </w:r>
    </w:p>
    <w:p>
      <w:pPr>
        <w:pStyle w:val="ListNumber"/>
      </w:pPr>
      <w:r>
        <w:rPr>
          <w:b/>
          <w:i w:val="0"/>
        </w:rPr>
        <w:t>ガイダンス精度は「強気外し→慎重達成」の傾向（要注意）：</w:t>
      </w:r>
      <w:r>
        <w:rPr>
          <w:b w:val="0"/>
          <w:i w:val="0"/>
        </w:rPr>
        <w:t xml:space="preserve"> FY2023短信ではFY2024を「売上948・営業利益42・純利益24百万円」と強気に見込んだが、</w:t>
      </w:r>
      <w:r>
        <w:rPr>
          <w:b/>
          <w:i w:val="0"/>
        </w:rPr>
        <w:t>実績は売上864・営業17・純8百万円と大幅未達</w:t>
      </w:r>
      <w:r>
        <w:rPr>
          <w:b w:val="0"/>
          <w:i w:val="0"/>
        </w:rPr>
        <w:t>。一方、翌FY2024短信ではFY2025を「売上980・営業△25・純△27百万円」と慎重化させ、</w:t>
      </w:r>
      <w:r>
        <w:rPr>
          <w:b/>
          <w:i w:val="0"/>
        </w:rPr>
        <w:t>実績は売上1,021・営業△19・純△17百万円と上振れ達成</w:t>
      </w:r>
      <w:r>
        <w:rPr>
          <w:b w:val="0"/>
          <w:i w:val="0"/>
        </w:rPr>
        <w:t>。すなわち</w:t>
      </w:r>
      <w:r>
        <w:rPr>
          <w:b/>
          <w:i w:val="0"/>
        </w:rPr>
        <w:t>複数期先の強気計画は外しやすく、保守化させた直近予想は達成する傾向</w:t>
      </w:r>
      <w:r>
        <w:rPr>
          <w:b w:val="0"/>
          <w:i w:val="0"/>
        </w:rPr>
        <w:t>。FY2026計画（黒字+3百万円）は後者の慎重バージョンだが、増収+27.9%は過去のM&amp;A寄与を含む高めの前提であり、達成にはトップライン進捗の確認が必要。</w:t>
      </w:r>
    </w:p>
    <w:p>
      <w:pPr>
        <w:pStyle w:val="Heading2"/>
      </w:pPr>
      <w:r>
        <w:rPr>
          <w:b w:val="0"/>
          <w:i w:val="0"/>
        </w:rPr>
        <w:t>5.2 収益性・マージン構造の評価</w:t>
      </w:r>
    </w:p>
    <w:p>
      <w:pPr>
        <w:pStyle w:val="ListBullet"/>
      </w:pPr>
      <w:r>
        <w:rPr>
          <w:b/>
          <w:i w:val="0"/>
        </w:rPr>
        <w:t>増収トレンドは明確で力強い</w:t>
      </w:r>
      <w:r>
        <w:rPr>
          <w:b w:val="0"/>
          <w:i w:val="0"/>
        </w:rPr>
        <w:t>：FY2023→FY2026Eで売上は659→1,306百万円とほぼ2倍。市場の追い風＋拠点拡大＋M&amp;A（事業譲受）が牽引。</w:t>
      </w:r>
    </w:p>
    <w:p>
      <w:pPr>
        <w:pStyle w:val="ListBullet"/>
      </w:pPr>
      <w:r>
        <w:rPr>
          <w:b/>
          <w:i w:val="0"/>
        </w:rPr>
        <w:t>粗利率は20〜24%、営業利益率は±数%のレンジ</w:t>
      </w:r>
      <w:r>
        <w:rPr>
          <w:b w:val="0"/>
          <w:i w:val="0"/>
        </w:rPr>
        <w:t>。売上原価率が約78〜81%と高いのは、</w:t>
      </w:r>
      <w:r>
        <w:rPr>
          <w:b/>
          <w:i w:val="0"/>
        </w:rPr>
        <w:t>支援員人件費が原価の中心を占める労働集約型</w:t>
      </w:r>
      <w:r>
        <w:rPr>
          <w:b w:val="0"/>
          <w:i w:val="0"/>
        </w:rPr>
        <w:t>であるため。スケールメリットは「販管費の固定費吸収」で出る構造。</w:t>
      </w:r>
    </w:p>
    <w:p>
      <w:pPr>
        <w:pStyle w:val="ListBullet"/>
      </w:pPr>
      <w:r>
        <w:rPr>
          <w:b/>
          <w:i w:val="0"/>
        </w:rPr>
        <w:t>利益のブレは販管費でほぼ説明できる</w:t>
      </w:r>
      <w:r>
        <w:rPr>
          <w:b w:val="0"/>
          <w:i w:val="0"/>
        </w:rPr>
        <w:t>：販管費は売上比でFY2023 30.9%→FY2024 22.3%→FY2025 23.7%と変動し、これが営業損益の黒字・赤字スイングの主因。すなわち</w:t>
      </w:r>
      <w:r>
        <w:rPr>
          <w:b/>
          <w:i w:val="0"/>
        </w:rPr>
        <w:t>「成長投資をどれだけ前倒しするか」という経営判断が、そのまま単年度の黒字／赤字を決める</w:t>
      </w:r>
      <w:r>
        <w:rPr>
          <w:b w:val="0"/>
          <w:i w:val="0"/>
        </w:rPr>
        <w:t>典型的なロールアウト型損益。</w:t>
      </w:r>
    </w:p>
    <w:p>
      <w:pPr>
        <w:pStyle w:val="ListBullet"/>
      </w:pPr>
      <w:r>
        <w:rPr>
          <w:b/>
          <w:i w:val="0"/>
        </w:rPr>
        <w:t>税金が利益の見え方を歪める</w:t>
      </w:r>
      <w:r>
        <w:rPr>
          <w:b w:val="0"/>
          <w:i w:val="0"/>
        </w:rPr>
        <w:t>：繰延税金資産（DTA）の取崩・計上により実効税率が大きく振れる。FY2024は税引前+23百万円に対し法人税等+14百万円（実効税率64%）で純利益が8百万円に圧縮された。DTAの動向は純利益・純資産の双方に直結する重要ファクター（リスクは第9章）。</w:t>
      </w:r>
    </w:p>
    <w:p>
      <w:pPr>
        <w:pStyle w:val="Heading2"/>
      </w:pPr>
      <w:r>
        <w:rPr>
          <w:b w:val="0"/>
          <w:i w:val="0"/>
        </w:rPr>
        <w:t>5.3 貸借対照表分析（FY2024・FY2025 確定値）</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D9E2F3"/>
          </w:tcPr>
          <w:p>
            <w:r>
              <w:rPr>
                <w:b/>
              </w:rPr>
            </w:r>
            <w:r>
              <w:rPr>
                <w:b/>
                <w:i w:val="0"/>
              </w:rPr>
              <w:t>項目（百万円）</w:t>
            </w:r>
          </w:p>
        </w:tc>
        <w:tc>
          <w:tcPr>
            <w:tcW w:type="dxa" w:w="2160"/>
            <w:shd w:val="clear" w:color="auto" w:fill="D9E2F3"/>
          </w:tcPr>
          <w:p>
            <w:r>
              <w:rPr>
                <w:b/>
              </w:rPr>
            </w:r>
            <w:r>
              <w:rPr>
                <w:b/>
                <w:i w:val="0"/>
              </w:rPr>
              <w:t>FY2024末 (2024/3)</w:t>
            </w:r>
          </w:p>
        </w:tc>
        <w:tc>
          <w:tcPr>
            <w:tcW w:type="dxa" w:w="2160"/>
            <w:shd w:val="clear" w:color="auto" w:fill="D9E2F3"/>
          </w:tcPr>
          <w:p>
            <w:r>
              <w:rPr>
                <w:b/>
              </w:rPr>
            </w:r>
            <w:r>
              <w:rPr>
                <w:b/>
                <w:i w:val="0"/>
              </w:rPr>
              <w:t>FY2025末 (2025/3)</w:t>
            </w:r>
          </w:p>
        </w:tc>
        <w:tc>
          <w:tcPr>
            <w:tcW w:type="dxa" w:w="2160"/>
            <w:shd w:val="clear" w:color="auto" w:fill="D9E2F3"/>
          </w:tcPr>
          <w:p>
            <w:r>
              <w:rPr>
                <w:b/>
              </w:rPr>
            </w:r>
            <w:r>
              <w:rPr>
                <w:b/>
                <w:i w:val="0"/>
              </w:rPr>
              <w:t>コメント</w:t>
            </w:r>
          </w:p>
        </w:tc>
      </w:tr>
      <w:tr>
        <w:tc>
          <w:tcPr>
            <w:tcW w:type="dxa" w:w="2160"/>
          </w:tcPr>
          <w:p>
            <w:r/>
            <w:r>
              <w:rPr>
                <w:b w:val="0"/>
                <w:i w:val="0"/>
              </w:rPr>
              <w:t>現金及び預金</w:t>
            </w:r>
          </w:p>
        </w:tc>
        <w:tc>
          <w:tcPr>
            <w:tcW w:type="dxa" w:w="2160"/>
          </w:tcPr>
          <w:p>
            <w:r/>
            <w:r>
              <w:rPr>
                <w:b w:val="0"/>
                <w:i w:val="0"/>
              </w:rPr>
              <w:t>392</w:t>
            </w:r>
          </w:p>
        </w:tc>
        <w:tc>
          <w:tcPr>
            <w:tcW w:type="dxa" w:w="2160"/>
          </w:tcPr>
          <w:p>
            <w:r/>
            <w:r>
              <w:rPr>
                <w:b w:val="0"/>
                <w:i w:val="0"/>
              </w:rPr>
              <w:t>423</w:t>
            </w:r>
          </w:p>
        </w:tc>
        <w:tc>
          <w:tcPr>
            <w:tcW w:type="dxa" w:w="2160"/>
          </w:tcPr>
          <w:p>
            <w:r/>
            <w:r>
              <w:rPr>
                <w:b w:val="0"/>
                <w:i w:val="0"/>
              </w:rPr>
              <w:t>総資産の約54%</w:t>
            </w:r>
          </w:p>
        </w:tc>
      </w:tr>
      <w:tr>
        <w:tc>
          <w:tcPr>
            <w:tcW w:type="dxa" w:w="2160"/>
          </w:tcPr>
          <w:p>
            <w:r/>
            <w:r>
              <w:rPr>
                <w:b w:val="0"/>
                <w:i w:val="0"/>
              </w:rPr>
              <w:t>売掛金</w:t>
            </w:r>
          </w:p>
        </w:tc>
        <w:tc>
          <w:tcPr>
            <w:tcW w:type="dxa" w:w="2160"/>
          </w:tcPr>
          <w:p>
            <w:r/>
            <w:r>
              <w:rPr>
                <w:b w:val="0"/>
                <w:i w:val="0"/>
              </w:rPr>
              <w:t>143</w:t>
            </w:r>
          </w:p>
        </w:tc>
        <w:tc>
          <w:tcPr>
            <w:tcW w:type="dxa" w:w="2160"/>
          </w:tcPr>
          <w:p>
            <w:r/>
            <w:r>
              <w:rPr>
                <w:b w:val="0"/>
                <w:i w:val="0"/>
              </w:rPr>
              <w:t>181</w:t>
            </w:r>
          </w:p>
        </w:tc>
        <w:tc>
          <w:tcPr>
            <w:tcW w:type="dxa" w:w="2160"/>
          </w:tcPr>
          <w:p>
            <w:r/>
            <w:r>
              <w:rPr>
                <w:b w:val="0"/>
                <w:i w:val="0"/>
              </w:rPr>
              <w:t>自治体給付費の入金ラグ（増収で増加）</w:t>
            </w:r>
          </w:p>
        </w:tc>
      </w:tr>
      <w:tr>
        <w:tc>
          <w:tcPr>
            <w:tcW w:type="dxa" w:w="2160"/>
          </w:tcPr>
          <w:p>
            <w:r/>
            <w:r>
              <w:rPr>
                <w:b w:val="0"/>
                <w:i w:val="0"/>
              </w:rPr>
              <w:t>流動資産合計</w:t>
            </w:r>
          </w:p>
        </w:tc>
        <w:tc>
          <w:tcPr>
            <w:tcW w:type="dxa" w:w="2160"/>
          </w:tcPr>
          <w:p>
            <w:r/>
            <w:r>
              <w:rPr>
                <w:b w:val="0"/>
                <w:i w:val="0"/>
              </w:rPr>
              <w:t>553</w:t>
            </w:r>
          </w:p>
        </w:tc>
        <w:tc>
          <w:tcPr>
            <w:tcW w:type="dxa" w:w="2160"/>
          </w:tcPr>
          <w:p>
            <w:r/>
            <w:r>
              <w:rPr>
                <w:b w:val="0"/>
                <w:i w:val="0"/>
              </w:rPr>
              <w:t>623</w:t>
            </w:r>
          </w:p>
        </w:tc>
        <w:tc>
          <w:tcPr>
            <w:tcW w:type="dxa" w:w="2160"/>
          </w:tcPr>
          <w:p>
            <w:r/>
          </w:p>
        </w:tc>
      </w:tr>
      <w:tr>
        <w:tc>
          <w:tcPr>
            <w:tcW w:type="dxa" w:w="2160"/>
          </w:tcPr>
          <w:p>
            <w:r/>
            <w:r>
              <w:rPr>
                <w:b w:val="0"/>
                <w:i w:val="0"/>
              </w:rPr>
              <w:t>のれん</w:t>
            </w:r>
          </w:p>
        </w:tc>
        <w:tc>
          <w:tcPr>
            <w:tcW w:type="dxa" w:w="2160"/>
          </w:tcPr>
          <w:p>
            <w:r/>
            <w:r>
              <w:rPr>
                <w:b w:val="0"/>
                <w:i w:val="0"/>
              </w:rPr>
              <w:t>51</w:t>
            </w:r>
          </w:p>
        </w:tc>
        <w:tc>
          <w:tcPr>
            <w:tcW w:type="dxa" w:w="2160"/>
          </w:tcPr>
          <w:p>
            <w:r/>
            <w:r>
              <w:rPr>
                <w:b w:val="0"/>
                <w:i w:val="0"/>
              </w:rPr>
              <w:t>47</w:t>
            </w:r>
          </w:p>
        </w:tc>
        <w:tc>
          <w:tcPr>
            <w:tcW w:type="dxa" w:w="2160"/>
          </w:tcPr>
          <w:p>
            <w:r/>
            <w:r>
              <w:rPr>
                <w:b w:val="0"/>
                <w:i w:val="0"/>
              </w:rPr>
              <w:t>事業譲受（M&amp;A）由来。年間約10百万円償却</w:t>
            </w:r>
          </w:p>
        </w:tc>
      </w:tr>
      <w:tr>
        <w:tc>
          <w:tcPr>
            <w:tcW w:type="dxa" w:w="2160"/>
          </w:tcPr>
          <w:p>
            <w:r/>
            <w:r>
              <w:rPr>
                <w:b w:val="0"/>
                <w:i w:val="0"/>
              </w:rPr>
              <w:t>敷金</w:t>
            </w:r>
          </w:p>
        </w:tc>
        <w:tc>
          <w:tcPr>
            <w:tcW w:type="dxa" w:w="2160"/>
          </w:tcPr>
          <w:p>
            <w:r/>
            <w:r>
              <w:rPr>
                <w:b w:val="0"/>
                <w:i w:val="0"/>
              </w:rPr>
              <w:t>38</w:t>
            </w:r>
          </w:p>
        </w:tc>
        <w:tc>
          <w:tcPr>
            <w:tcW w:type="dxa" w:w="2160"/>
          </w:tcPr>
          <w:p>
            <w:r/>
            <w:r>
              <w:rPr>
                <w:b w:val="0"/>
                <w:i w:val="0"/>
              </w:rPr>
              <w:t>30</w:t>
            </w:r>
          </w:p>
        </w:tc>
        <w:tc>
          <w:tcPr>
            <w:tcW w:type="dxa" w:w="2160"/>
          </w:tcPr>
          <w:p>
            <w:r/>
            <w:r>
              <w:rPr>
                <w:b w:val="0"/>
                <w:i w:val="0"/>
              </w:rPr>
              <w:t>事業所賃借</w:t>
            </w:r>
          </w:p>
        </w:tc>
      </w:tr>
      <w:tr>
        <w:tc>
          <w:tcPr>
            <w:tcW w:type="dxa" w:w="2160"/>
          </w:tcPr>
          <w:p>
            <w:r/>
            <w:r>
              <w:rPr>
                <w:b w:val="0"/>
                <w:i w:val="0"/>
              </w:rPr>
              <w:t>繰延税金資産（DTA）</w:t>
            </w:r>
          </w:p>
        </w:tc>
        <w:tc>
          <w:tcPr>
            <w:tcW w:type="dxa" w:w="2160"/>
          </w:tcPr>
          <w:p>
            <w:r/>
            <w:r>
              <w:rPr>
                <w:b w:val="0"/>
                <w:i w:val="0"/>
              </w:rPr>
              <w:t>58</w:t>
            </w:r>
          </w:p>
        </w:tc>
        <w:tc>
          <w:tcPr>
            <w:tcW w:type="dxa" w:w="2160"/>
          </w:tcPr>
          <w:p>
            <w:r/>
            <w:r>
              <w:rPr>
                <w:b w:val="0"/>
                <w:i w:val="0"/>
              </w:rPr>
              <w:t>63</w:t>
            </w:r>
          </w:p>
        </w:tc>
        <w:tc>
          <w:tcPr>
            <w:tcW w:type="dxa" w:w="2160"/>
          </w:tcPr>
          <w:p>
            <w:r/>
            <w:r>
              <w:rPr>
                <w:b/>
                <w:i w:val="0"/>
              </w:rPr>
              <w:t>純資産を上回る（後述リスク）</w:t>
            </w:r>
          </w:p>
        </w:tc>
      </w:tr>
      <w:tr>
        <w:tc>
          <w:tcPr>
            <w:tcW w:type="dxa" w:w="2160"/>
          </w:tcPr>
          <w:p>
            <w:r/>
            <w:r>
              <w:rPr>
                <w:b w:val="0"/>
                <w:i w:val="0"/>
              </w:rPr>
              <w:t>総資産</w:t>
            </w:r>
          </w:p>
        </w:tc>
        <w:tc>
          <w:tcPr>
            <w:tcW w:type="dxa" w:w="2160"/>
          </w:tcPr>
          <w:p>
            <w:r/>
            <w:r>
              <w:rPr>
                <w:b w:val="0"/>
                <w:i w:val="0"/>
              </w:rPr>
              <w:t>723</w:t>
            </w:r>
          </w:p>
        </w:tc>
        <w:tc>
          <w:tcPr>
            <w:tcW w:type="dxa" w:w="2160"/>
          </w:tcPr>
          <w:p>
            <w:r/>
            <w:r>
              <w:rPr>
                <w:b/>
                <w:i w:val="0"/>
              </w:rPr>
              <w:t>790</w:t>
            </w:r>
          </w:p>
        </w:tc>
        <w:tc>
          <w:tcPr>
            <w:tcW w:type="dxa" w:w="2160"/>
          </w:tcPr>
          <w:p>
            <w:r/>
          </w:p>
        </w:tc>
      </w:tr>
      <w:tr>
        <w:tc>
          <w:tcPr>
            <w:tcW w:type="dxa" w:w="2160"/>
          </w:tcPr>
          <w:p>
            <w:r/>
            <w:r>
              <w:rPr>
                <w:b w:val="0"/>
                <w:i w:val="0"/>
              </w:rPr>
              <w:t>1年内返済予定長期借入金</w:t>
            </w:r>
          </w:p>
        </w:tc>
        <w:tc>
          <w:tcPr>
            <w:tcW w:type="dxa" w:w="2160"/>
          </w:tcPr>
          <w:p>
            <w:r/>
            <w:r>
              <w:rPr>
                <w:b w:val="0"/>
                <w:i w:val="0"/>
              </w:rPr>
              <w:t>68</w:t>
            </w:r>
          </w:p>
        </w:tc>
        <w:tc>
          <w:tcPr>
            <w:tcW w:type="dxa" w:w="2160"/>
          </w:tcPr>
          <w:p>
            <w:r/>
            <w:r>
              <w:rPr>
                <w:b w:val="0"/>
                <w:i w:val="0"/>
              </w:rPr>
              <w:t>89</w:t>
            </w:r>
          </w:p>
        </w:tc>
        <w:tc>
          <w:tcPr>
            <w:tcW w:type="dxa" w:w="2160"/>
          </w:tcPr>
          <w:p>
            <w:r/>
          </w:p>
        </w:tc>
      </w:tr>
      <w:tr>
        <w:tc>
          <w:tcPr>
            <w:tcW w:type="dxa" w:w="2160"/>
          </w:tcPr>
          <w:p>
            <w:r/>
            <w:r>
              <w:rPr>
                <w:b w:val="0"/>
                <w:i w:val="0"/>
              </w:rPr>
              <w:t>流動負債合計</w:t>
            </w:r>
          </w:p>
        </w:tc>
        <w:tc>
          <w:tcPr>
            <w:tcW w:type="dxa" w:w="2160"/>
          </w:tcPr>
          <w:p>
            <w:r/>
            <w:r>
              <w:rPr>
                <w:b w:val="0"/>
                <w:i w:val="0"/>
              </w:rPr>
              <w:t>179</w:t>
            </w:r>
          </w:p>
        </w:tc>
        <w:tc>
          <w:tcPr>
            <w:tcW w:type="dxa" w:w="2160"/>
          </w:tcPr>
          <w:p>
            <w:r/>
            <w:r>
              <w:rPr>
                <w:b w:val="0"/>
                <w:i w:val="0"/>
              </w:rPr>
              <w:t>219</w:t>
            </w:r>
          </w:p>
        </w:tc>
        <w:tc>
          <w:tcPr>
            <w:tcW w:type="dxa" w:w="2160"/>
          </w:tcPr>
          <w:p>
            <w:r/>
          </w:p>
        </w:tc>
      </w:tr>
      <w:tr>
        <w:tc>
          <w:tcPr>
            <w:tcW w:type="dxa" w:w="2160"/>
          </w:tcPr>
          <w:p>
            <w:r/>
            <w:r>
              <w:rPr>
                <w:b w:val="0"/>
                <w:i w:val="0"/>
              </w:rPr>
              <w:t>長期借入金</w:t>
            </w:r>
          </w:p>
        </w:tc>
        <w:tc>
          <w:tcPr>
            <w:tcW w:type="dxa" w:w="2160"/>
          </w:tcPr>
          <w:p>
            <w:r/>
            <w:r>
              <w:rPr>
                <w:b w:val="0"/>
                <w:i w:val="0"/>
              </w:rPr>
              <w:t>466</w:t>
            </w:r>
          </w:p>
        </w:tc>
        <w:tc>
          <w:tcPr>
            <w:tcW w:type="dxa" w:w="2160"/>
          </w:tcPr>
          <w:p>
            <w:r/>
            <w:r>
              <w:rPr>
                <w:b w:val="0"/>
                <w:i w:val="0"/>
              </w:rPr>
              <w:t>511</w:t>
            </w:r>
          </w:p>
        </w:tc>
        <w:tc>
          <w:tcPr>
            <w:tcW w:type="dxa" w:w="2160"/>
          </w:tcPr>
          <w:p>
            <w:r/>
          </w:p>
        </w:tc>
      </w:tr>
      <w:tr>
        <w:tc>
          <w:tcPr>
            <w:tcW w:type="dxa" w:w="2160"/>
          </w:tcPr>
          <w:p>
            <w:r/>
            <w:r>
              <w:rPr>
                <w:b w:val="0"/>
                <w:i w:val="0"/>
              </w:rPr>
              <w:t>負債合計</w:t>
            </w:r>
          </w:p>
        </w:tc>
        <w:tc>
          <w:tcPr>
            <w:tcW w:type="dxa" w:w="2160"/>
          </w:tcPr>
          <w:p>
            <w:r/>
            <w:r>
              <w:rPr>
                <w:b w:val="0"/>
                <w:i w:val="0"/>
              </w:rPr>
              <w:t>649</w:t>
            </w:r>
          </w:p>
        </w:tc>
        <w:tc>
          <w:tcPr>
            <w:tcW w:type="dxa" w:w="2160"/>
          </w:tcPr>
          <w:p>
            <w:r/>
            <w:r>
              <w:rPr>
                <w:b/>
                <w:i w:val="0"/>
              </w:rPr>
              <w:t>733</w:t>
            </w:r>
          </w:p>
        </w:tc>
        <w:tc>
          <w:tcPr>
            <w:tcW w:type="dxa" w:w="2160"/>
          </w:tcPr>
          <w:p>
            <w:r/>
          </w:p>
        </w:tc>
      </w:tr>
      <w:tr>
        <w:tc>
          <w:tcPr>
            <w:tcW w:type="dxa" w:w="2160"/>
          </w:tcPr>
          <w:p>
            <w:r/>
            <w:r>
              <w:rPr>
                <w:b w:val="0"/>
                <w:i w:val="0"/>
              </w:rPr>
              <w:t>純資産</w:t>
            </w:r>
          </w:p>
        </w:tc>
        <w:tc>
          <w:tcPr>
            <w:tcW w:type="dxa" w:w="2160"/>
          </w:tcPr>
          <w:p>
            <w:r/>
            <w:r>
              <w:rPr>
                <w:b w:val="0"/>
                <w:i w:val="0"/>
              </w:rPr>
              <w:t>74</w:t>
            </w:r>
          </w:p>
        </w:tc>
        <w:tc>
          <w:tcPr>
            <w:tcW w:type="dxa" w:w="2160"/>
          </w:tcPr>
          <w:p>
            <w:r/>
            <w:r>
              <w:rPr>
                <w:b/>
                <w:i w:val="0"/>
              </w:rPr>
              <w:t>57</w:t>
            </w:r>
          </w:p>
        </w:tc>
        <w:tc>
          <w:tcPr>
            <w:tcW w:type="dxa" w:w="2160"/>
          </w:tcPr>
          <w:p>
            <w:r/>
            <w:r>
              <w:rPr>
                <w:b w:val="0"/>
                <w:i w:val="0"/>
              </w:rPr>
              <w:t>累損△60百万円で目減り</w:t>
            </w:r>
          </w:p>
        </w:tc>
      </w:tr>
      <w:tr>
        <w:tc>
          <w:tcPr>
            <w:tcW w:type="dxa" w:w="2160"/>
          </w:tcPr>
          <w:p>
            <w:r/>
            <w:r>
              <w:rPr>
                <w:b/>
                <w:i w:val="0"/>
              </w:rPr>
              <w:t>自己資本比率</w:t>
            </w:r>
          </w:p>
        </w:tc>
        <w:tc>
          <w:tcPr>
            <w:tcW w:type="dxa" w:w="2160"/>
          </w:tcPr>
          <w:p>
            <w:r/>
            <w:r>
              <w:rPr>
                <w:b w:val="0"/>
                <w:i w:val="0"/>
              </w:rPr>
              <w:t>10.2%</w:t>
            </w:r>
          </w:p>
        </w:tc>
        <w:tc>
          <w:tcPr>
            <w:tcW w:type="dxa" w:w="2160"/>
          </w:tcPr>
          <w:p>
            <w:r/>
            <w:r>
              <w:rPr>
                <w:b/>
                <w:i w:val="0"/>
              </w:rPr>
              <w:t>7.2%</w:t>
            </w:r>
          </w:p>
        </w:tc>
        <w:tc>
          <w:tcPr>
            <w:tcW w:type="dxa" w:w="2160"/>
          </w:tcPr>
          <w:p>
            <w:r/>
            <w:r>
              <w:rPr>
                <w:b w:val="0"/>
                <w:i w:val="0"/>
              </w:rPr>
              <w:t>極めて薄い</w:t>
            </w:r>
          </w:p>
        </w:tc>
      </w:tr>
      <w:tr>
        <w:tc>
          <w:tcPr>
            <w:tcW w:type="dxa" w:w="2160"/>
          </w:tcPr>
          <w:p>
            <w:r/>
            <w:r>
              <w:rPr>
                <w:b w:val="0"/>
                <w:i w:val="0"/>
              </w:rPr>
              <w:t>BPS（円）</w:t>
            </w:r>
          </w:p>
        </w:tc>
        <w:tc>
          <w:tcPr>
            <w:tcW w:type="dxa" w:w="2160"/>
          </w:tcPr>
          <w:p>
            <w:r/>
            <w:r>
              <w:rPr>
                <w:b w:val="0"/>
                <w:i w:val="0"/>
              </w:rPr>
              <w:t>47.06</w:t>
            </w:r>
          </w:p>
        </w:tc>
        <w:tc>
          <w:tcPr>
            <w:tcW w:type="dxa" w:w="2160"/>
          </w:tcPr>
          <w:p>
            <w:r/>
            <w:r>
              <w:rPr>
                <w:b w:val="0"/>
                <w:i w:val="0"/>
              </w:rPr>
              <w:t>36.38</w:t>
            </w:r>
          </w:p>
        </w:tc>
        <w:tc>
          <w:tcPr>
            <w:tcW w:type="dxa" w:w="2160"/>
          </w:tcPr>
          <w:p>
            <w:r/>
          </w:p>
        </w:tc>
      </w:tr>
    </w:tbl>
    <w:p/>
    <w:p>
      <w:pPr>
        <w:pStyle w:val="ListBullet"/>
      </w:pPr>
      <w:r>
        <w:rPr>
          <w:b/>
          <w:i w:val="0"/>
        </w:rPr>
        <w:t>自己資本は累損で継続的に毀損</w:t>
      </w:r>
      <w:r>
        <w:rPr>
          <w:b w:val="0"/>
          <w:i w:val="0"/>
        </w:rPr>
        <w:t>：純資産はFY2022末118.8→FY2023末65.8→FY2024末73.9→FY2025末57.2百万円と、上場後3年で半減。自己資本比率も14.3%→9.1%→10.2%→7.2%へ低下。</w:t>
      </w:r>
      <w:r>
        <w:rPr>
          <w:b/>
          <w:i w:val="0"/>
        </w:rPr>
        <w:t>払込資本116.7百万円の半分超が累積損失で消えた</w:t>
      </w:r>
      <w:r>
        <w:rPr>
          <w:b w:val="0"/>
          <w:i w:val="0"/>
        </w:rPr>
        <w:t>状態。</w:t>
      </w:r>
    </w:p>
    <w:p>
      <w:pPr>
        <w:pStyle w:val="ListBullet"/>
      </w:pPr>
      <w:r>
        <w:rPr>
          <w:b/>
          <w:i w:val="0"/>
        </w:rPr>
        <w:t>極小資本×高レバレッジ</w:t>
      </w:r>
      <w:r>
        <w:rPr>
          <w:b w:val="0"/>
          <w:i w:val="0"/>
        </w:rPr>
        <w:t>：純資産わずか57百万円に対し、</w:t>
      </w:r>
      <w:r>
        <w:rPr>
          <w:b/>
          <w:i w:val="0"/>
        </w:rPr>
        <w:t>有利子負債（借入金）は1年内89＋長期511＝約600百万円</w:t>
      </w:r>
      <w:r>
        <w:rPr>
          <w:b w:val="0"/>
          <w:i w:val="0"/>
        </w:rPr>
        <w:t>（リース含め約602百万円）。</w:t>
      </w:r>
      <w:r>
        <w:rPr>
          <w:b/>
          <w:i w:val="0"/>
        </w:rPr>
        <w:t>Net Debt（借入−現金）＝約177百万円</w:t>
      </w:r>
      <w:r>
        <w:rPr>
          <w:b w:val="0"/>
          <w:i w:val="0"/>
        </w:rPr>
        <w:t>、D/Eレシオは借入総額ベースで約10.5倍と非常に高い。資本構成は実質的に</w:t>
      </w:r>
      <w:r>
        <w:rPr>
          <w:b/>
          <w:i w:val="0"/>
        </w:rPr>
        <w:t>「銀行借入で出店資金を賄う」デット主導</w:t>
      </w:r>
      <w:r>
        <w:rPr>
          <w:b w:val="0"/>
          <w:i w:val="0"/>
        </w:rPr>
        <w:t>であり、上場前後のFY2022に長期借入500百万円を調達して以降も、エクイティでの大型調達はしていない（TPMの調達制約と整合）。</w:t>
      </w:r>
    </w:p>
    <w:p>
      <w:pPr>
        <w:pStyle w:val="ListBullet"/>
      </w:pPr>
      <w:r>
        <w:rPr>
          <w:b/>
          <w:i w:val="0"/>
        </w:rPr>
        <w:t>資本金・剰余金の内訳</w:t>
      </w:r>
      <w:r>
        <w:rPr>
          <w:b w:val="0"/>
          <w:i w:val="0"/>
        </w:rPr>
        <w:t>：資本金66.4百万円＋資本準備金50.3百万円＝払込資本116.7百万円。これに対し繰越利益剰余金は△59.6百万円（累積損失）。すなわち</w:t>
      </w:r>
      <w:r>
        <w:rPr>
          <w:b/>
          <w:i w:val="0"/>
        </w:rPr>
        <w:t>払込資本の半分超が累損で消えている</w:t>
      </w:r>
      <w:r>
        <w:rPr>
          <w:b w:val="0"/>
          <w:i w:val="0"/>
        </w:rPr>
        <w:t>状態。</w:t>
      </w:r>
    </w:p>
    <w:p>
      <w:pPr>
        <w:pStyle w:val="ListBullet"/>
      </w:pPr>
      <w:r>
        <w:rPr>
          <w:b/>
          <w:i w:val="0"/>
        </w:rPr>
        <w:t>最大の財務リスク：繰延税金資産（DTA）63百万円 ＞ 純資産57百万円</w:t>
      </w:r>
      <w:r>
        <w:rPr>
          <w:b w:val="0"/>
          <w:i w:val="0"/>
        </w:rPr>
        <w:t>。DTAは「将来の課税所得で回収できる」前提で計上される。もし将来の黒字化前提が崩れ</w:t>
      </w:r>
      <w:r>
        <w:rPr>
          <w:b/>
          <w:i w:val="0"/>
        </w:rPr>
        <w:t>DTAの一部でも取り崩せば、純資産が直接毀損し、債務超過に近づくリスク</w:t>
      </w:r>
      <w:r>
        <w:rPr>
          <w:b w:val="0"/>
          <w:i w:val="0"/>
        </w:rPr>
        <w:t>がある。薄い自己資本と相まって、財務の安全余裕（バッファ）は小さい。</w:t>
      </w:r>
    </w:p>
    <w:p>
      <w:pPr>
        <w:pStyle w:val="Heading2"/>
      </w:pPr>
      <w:r>
        <w:rPr>
          <w:b w:val="0"/>
          <w:i w:val="0"/>
        </w:rPr>
        <w:t>5.4 キャッシュフロー分析（確定値）</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shd w:val="clear" w:color="auto" w:fill="D9E2F3"/>
          </w:tcPr>
          <w:p>
            <w:r>
              <w:rPr>
                <w:b/>
              </w:rPr>
            </w:r>
            <w:r>
              <w:rPr>
                <w:b/>
                <w:i w:val="0"/>
              </w:rPr>
              <w:t>CF（百万円）</w:t>
            </w:r>
          </w:p>
        </w:tc>
        <w:tc>
          <w:tcPr>
            <w:tcW w:type="dxa" w:w="1728"/>
            <w:shd w:val="clear" w:color="auto" w:fill="D9E2F3"/>
          </w:tcPr>
          <w:p>
            <w:r>
              <w:rPr>
                <w:b/>
              </w:rPr>
            </w:r>
            <w:r>
              <w:rPr>
                <w:b/>
                <w:i w:val="0"/>
              </w:rPr>
              <w:t>FY2022</w:t>
            </w:r>
          </w:p>
        </w:tc>
        <w:tc>
          <w:tcPr>
            <w:tcW w:type="dxa" w:w="1728"/>
            <w:shd w:val="clear" w:color="auto" w:fill="D9E2F3"/>
          </w:tcPr>
          <w:p>
            <w:r>
              <w:rPr>
                <w:b/>
              </w:rPr>
            </w:r>
            <w:r>
              <w:rPr>
                <w:b/>
                <w:i w:val="0"/>
              </w:rPr>
              <w:t>FY2023</w:t>
            </w:r>
          </w:p>
        </w:tc>
        <w:tc>
          <w:tcPr>
            <w:tcW w:type="dxa" w:w="1728"/>
            <w:shd w:val="clear" w:color="auto" w:fill="D9E2F3"/>
          </w:tcPr>
          <w:p>
            <w:r>
              <w:rPr>
                <w:b/>
              </w:rPr>
            </w:r>
            <w:r>
              <w:rPr>
                <w:b/>
                <w:i w:val="0"/>
              </w:rPr>
              <w:t>FY2024</w:t>
            </w:r>
          </w:p>
        </w:tc>
        <w:tc>
          <w:tcPr>
            <w:tcW w:type="dxa" w:w="1728"/>
            <w:shd w:val="clear" w:color="auto" w:fill="D9E2F3"/>
          </w:tcPr>
          <w:p>
            <w:r>
              <w:rPr>
                <w:b/>
              </w:rPr>
            </w:r>
            <w:r>
              <w:rPr>
                <w:b/>
                <w:i w:val="0"/>
              </w:rPr>
              <w:t>FY2025</w:t>
            </w:r>
          </w:p>
        </w:tc>
      </w:tr>
      <w:tr>
        <w:tc>
          <w:tcPr>
            <w:tcW w:type="dxa" w:w="1728"/>
          </w:tcPr>
          <w:p>
            <w:r/>
            <w:r>
              <w:rPr>
                <w:b w:val="0"/>
                <w:i w:val="0"/>
              </w:rPr>
              <w:t>営業CF</w:t>
            </w:r>
          </w:p>
        </w:tc>
        <w:tc>
          <w:tcPr>
            <w:tcW w:type="dxa" w:w="1728"/>
          </w:tcPr>
          <w:p>
            <w:r/>
            <w:r>
              <w:rPr>
                <w:b w:val="0"/>
                <w:i w:val="0"/>
              </w:rPr>
              <w:t>△5</w:t>
            </w:r>
          </w:p>
        </w:tc>
        <w:tc>
          <w:tcPr>
            <w:tcW w:type="dxa" w:w="1728"/>
          </w:tcPr>
          <w:p>
            <w:r/>
            <w:r>
              <w:rPr>
                <w:b w:val="0"/>
                <w:i w:val="0"/>
              </w:rPr>
              <w:t>△93</w:t>
            </w:r>
          </w:p>
        </w:tc>
        <w:tc>
          <w:tcPr>
            <w:tcW w:type="dxa" w:w="1728"/>
          </w:tcPr>
          <w:p>
            <w:r/>
            <w:r>
              <w:rPr>
                <w:b w:val="0"/>
                <w:i w:val="0"/>
              </w:rPr>
              <w:t>+27</w:t>
            </w:r>
          </w:p>
        </w:tc>
        <w:tc>
          <w:tcPr>
            <w:tcW w:type="dxa" w:w="1728"/>
          </w:tcPr>
          <w:p>
            <w:r/>
            <w:r>
              <w:rPr>
                <w:b w:val="0"/>
                <w:i w:val="0"/>
              </w:rPr>
              <w:t>△15</w:t>
            </w:r>
          </w:p>
        </w:tc>
      </w:tr>
      <w:tr>
        <w:tc>
          <w:tcPr>
            <w:tcW w:type="dxa" w:w="1728"/>
          </w:tcPr>
          <w:p>
            <w:r/>
            <w:r>
              <w:rPr>
                <w:b w:val="0"/>
                <w:i w:val="0"/>
              </w:rPr>
              <w:t>投資CF</w:t>
            </w:r>
          </w:p>
        </w:tc>
        <w:tc>
          <w:tcPr>
            <w:tcW w:type="dxa" w:w="1728"/>
          </w:tcPr>
          <w:p>
            <w:r/>
            <w:r>
              <w:rPr>
                <w:b w:val="0"/>
                <w:i w:val="0"/>
              </w:rPr>
              <w:t>△16</w:t>
            </w:r>
          </w:p>
        </w:tc>
        <w:tc>
          <w:tcPr>
            <w:tcW w:type="dxa" w:w="1728"/>
          </w:tcPr>
          <w:p>
            <w:r/>
            <w:r>
              <w:rPr>
                <w:b w:val="0"/>
                <w:i w:val="0"/>
              </w:rPr>
              <w:t>△69</w:t>
            </w:r>
          </w:p>
        </w:tc>
        <w:tc>
          <w:tcPr>
            <w:tcW w:type="dxa" w:w="1728"/>
          </w:tcPr>
          <w:p>
            <w:r/>
            <w:r>
              <w:rPr>
                <w:b w:val="0"/>
                <w:i w:val="0"/>
              </w:rPr>
              <w:t>△45</w:t>
            </w:r>
          </w:p>
        </w:tc>
        <w:tc>
          <w:tcPr>
            <w:tcW w:type="dxa" w:w="1728"/>
          </w:tcPr>
          <w:p>
            <w:r/>
            <w:r>
              <w:rPr>
                <w:b w:val="0"/>
                <w:i w:val="0"/>
              </w:rPr>
              <w:t>△19</w:t>
            </w:r>
          </w:p>
        </w:tc>
      </w:tr>
      <w:tr>
        <w:tc>
          <w:tcPr>
            <w:tcW w:type="dxa" w:w="1728"/>
          </w:tcPr>
          <w:p>
            <w:r/>
            <w:r>
              <w:rPr>
                <w:b/>
                <w:i w:val="0"/>
              </w:rPr>
              <w:t>フリーCF（営業＋投資）</w:t>
            </w:r>
          </w:p>
        </w:tc>
        <w:tc>
          <w:tcPr>
            <w:tcW w:type="dxa" w:w="1728"/>
          </w:tcPr>
          <w:p>
            <w:r/>
            <w:r>
              <w:rPr>
                <w:b/>
                <w:i w:val="0"/>
              </w:rPr>
              <w:t>△21</w:t>
            </w:r>
          </w:p>
        </w:tc>
        <w:tc>
          <w:tcPr>
            <w:tcW w:type="dxa" w:w="1728"/>
          </w:tcPr>
          <w:p>
            <w:r/>
            <w:r>
              <w:rPr>
                <w:b/>
                <w:i w:val="0"/>
              </w:rPr>
              <w:t>△162</w:t>
            </w:r>
          </w:p>
        </w:tc>
        <w:tc>
          <w:tcPr>
            <w:tcW w:type="dxa" w:w="1728"/>
          </w:tcPr>
          <w:p>
            <w:r/>
            <w:r>
              <w:rPr>
                <w:b/>
                <w:i w:val="0"/>
              </w:rPr>
              <w:t>△18</w:t>
            </w:r>
          </w:p>
        </w:tc>
        <w:tc>
          <w:tcPr>
            <w:tcW w:type="dxa" w:w="1728"/>
          </w:tcPr>
          <w:p>
            <w:r/>
            <w:r>
              <w:rPr>
                <w:b/>
                <w:i w:val="0"/>
              </w:rPr>
              <w:t>△34</w:t>
            </w:r>
          </w:p>
        </w:tc>
      </w:tr>
      <w:tr>
        <w:tc>
          <w:tcPr>
            <w:tcW w:type="dxa" w:w="1728"/>
          </w:tcPr>
          <w:p>
            <w:r/>
            <w:r>
              <w:rPr>
                <w:b w:val="0"/>
                <w:i w:val="0"/>
              </w:rPr>
              <w:t>財務CF</w:t>
            </w:r>
          </w:p>
        </w:tc>
        <w:tc>
          <w:tcPr>
            <w:tcW w:type="dxa" w:w="1728"/>
          </w:tcPr>
          <w:p>
            <w:r/>
            <w:r>
              <w:rPr>
                <w:b w:val="0"/>
                <w:i w:val="0"/>
              </w:rPr>
              <w:t>+525</w:t>
            </w:r>
          </w:p>
        </w:tc>
        <w:tc>
          <w:tcPr>
            <w:tcW w:type="dxa" w:w="1728"/>
          </w:tcPr>
          <w:p>
            <w:r/>
            <w:r>
              <w:rPr>
                <w:b w:val="0"/>
                <w:i w:val="0"/>
              </w:rPr>
              <w:t>△66</w:t>
            </w:r>
          </w:p>
        </w:tc>
        <w:tc>
          <w:tcPr>
            <w:tcW w:type="dxa" w:w="1728"/>
          </w:tcPr>
          <w:p>
            <w:r/>
            <w:r>
              <w:rPr>
                <w:b w:val="0"/>
                <w:i w:val="0"/>
              </w:rPr>
              <w:t>△14</w:t>
            </w:r>
          </w:p>
        </w:tc>
        <w:tc>
          <w:tcPr>
            <w:tcW w:type="dxa" w:w="1728"/>
          </w:tcPr>
          <w:p>
            <w:r/>
            <w:r>
              <w:rPr>
                <w:b w:val="0"/>
                <w:i w:val="0"/>
              </w:rPr>
              <w:t>+65</w:t>
            </w:r>
          </w:p>
        </w:tc>
      </w:tr>
      <w:tr>
        <w:tc>
          <w:tcPr>
            <w:tcW w:type="dxa" w:w="1728"/>
          </w:tcPr>
          <w:p>
            <w:r/>
            <w:r>
              <w:rPr>
                <w:b w:val="0"/>
                <w:i w:val="0"/>
              </w:rPr>
              <w:t>現金期末残高</w:t>
            </w:r>
          </w:p>
        </w:tc>
        <w:tc>
          <w:tcPr>
            <w:tcW w:type="dxa" w:w="1728"/>
          </w:tcPr>
          <w:p>
            <w:r/>
            <w:r>
              <w:rPr>
                <w:b w:val="0"/>
                <w:i w:val="0"/>
              </w:rPr>
              <w:t>652</w:t>
            </w:r>
          </w:p>
        </w:tc>
        <w:tc>
          <w:tcPr>
            <w:tcW w:type="dxa" w:w="1728"/>
          </w:tcPr>
          <w:p>
            <w:r/>
            <w:r>
              <w:rPr>
                <w:b w:val="0"/>
                <w:i w:val="0"/>
              </w:rPr>
              <w:t>423</w:t>
            </w:r>
          </w:p>
        </w:tc>
        <w:tc>
          <w:tcPr>
            <w:tcW w:type="dxa" w:w="1728"/>
          </w:tcPr>
          <w:p>
            <w:r/>
            <w:r>
              <w:rPr>
                <w:b w:val="0"/>
                <w:i w:val="0"/>
              </w:rPr>
              <w:t>392</w:t>
            </w:r>
          </w:p>
        </w:tc>
        <w:tc>
          <w:tcPr>
            <w:tcW w:type="dxa" w:w="1728"/>
          </w:tcPr>
          <w:p>
            <w:r/>
            <w:r>
              <w:rPr>
                <w:b w:val="0"/>
                <w:i w:val="0"/>
              </w:rPr>
              <w:t>423</w:t>
            </w:r>
          </w:p>
        </w:tc>
      </w:tr>
    </w:tbl>
    <w:p/>
    <w:p>
      <w:pPr>
        <w:pStyle w:val="ListBullet"/>
      </w:pPr>
      <w:r>
        <w:rPr>
          <w:b/>
          <w:i w:val="0"/>
        </w:rPr>
        <w:t>フリーCFは開示のある全4期で連続マイナス</w:t>
      </w:r>
      <w:r>
        <w:rPr>
          <w:b w:val="0"/>
          <w:i w:val="0"/>
        </w:rPr>
        <w:t>。事業譲受（FY2024 △34百万円、FY2025 △9百万円）やソフトウエア開発（FY2023 △64百万円＝マナe等のシステム投資）など、</w:t>
      </w:r>
      <w:r>
        <w:rPr>
          <w:b/>
          <w:i w:val="0"/>
        </w:rPr>
        <w:t>成長投資が営業CFを上回る局面が続く</w:t>
      </w:r>
      <w:r>
        <w:rPr>
          <w:b w:val="0"/>
          <w:i w:val="0"/>
        </w:rPr>
        <w:t>。とりわけFY2022は長期借入500百万円（財務CF+525百万円）で手元資金を652百万円まで積み上げ、その「軍資金」を以降の投資・赤字補填で取り崩してきた構図（652→423→392→423百万円）。</w:t>
      </w:r>
    </w:p>
    <w:p>
      <w:pPr>
        <w:pStyle w:val="ListBullet"/>
      </w:pPr>
      <w:r>
        <w:rPr>
          <w:b w:val="0"/>
          <w:i w:val="0"/>
        </w:rPr>
        <w:t>FY2025は営業CFが△15百万円（売掛金増38百万円が重し）、投資CF△19百万円の資金流出を、</w:t>
      </w:r>
      <w:r>
        <w:rPr>
          <w:b/>
          <w:i w:val="0"/>
        </w:rPr>
        <w:t>新規長期借入140百万円（返済差引で財務CF+65百万円）で穴埋め</w:t>
      </w:r>
      <w:r>
        <w:rPr>
          <w:b w:val="0"/>
          <w:i w:val="0"/>
        </w:rPr>
        <w:t>。手元資金は423百万円を維持しているが、</w:t>
      </w:r>
      <w:r>
        <w:rPr>
          <w:b/>
          <w:i w:val="0"/>
        </w:rPr>
        <w:t>実態は借入で残高を保っている構図</w:t>
      </w:r>
      <w:r>
        <w:rPr>
          <w:b w:val="0"/>
          <w:i w:val="0"/>
        </w:rPr>
        <w:t>。</w:t>
      </w:r>
    </w:p>
    <w:p>
      <w:pPr>
        <w:pStyle w:val="ListBullet"/>
      </w:pPr>
      <w:r>
        <w:rPr>
          <w:b w:val="0"/>
          <w:i w:val="0"/>
        </w:rPr>
        <w:t>現金423百万円は年商の約4ヶ月分・直近の年間資金流出ペースに対しては当面の手元流動性に問題はないが、</w:t>
      </w:r>
      <w:r>
        <w:rPr>
          <w:b/>
          <w:i w:val="0"/>
        </w:rPr>
        <w:t>借入依存の成長は金利・返済負担と財務制限条項（コベナンツ）の観点で持続性に上限</w:t>
      </w:r>
      <w:r>
        <w:rPr>
          <w:b w:val="0"/>
          <w:i w:val="0"/>
        </w:rPr>
        <w:t>がある。</w:t>
      </w:r>
    </w:p>
    <w:p>
      <w:pPr>
        <w:spacing w:before="80" w:after="80"/>
        <w:ind w:left="432"/>
        <w:shd w:val="clear" w:color="auto" w:fill="F2F2F2"/>
      </w:pPr>
      <w:r>
        <w:rPr>
          <w:b/>
          <w:i/>
        </w:rPr>
        <w:t>投資銀行コメント：</w:t>
      </w:r>
      <w:r>
        <w:rPr>
          <w:b w:val="0"/>
          <w:i/>
        </w:rPr>
        <w:t xml:space="preserve"> 「薄い自己資本（57百万円）＋DTA超過＋約6億円の借入＋3期連続マイナスFCF」という財務プロファイルは、</w:t>
      </w:r>
      <w:r>
        <w:rPr>
          <w:b/>
          <w:i/>
        </w:rPr>
        <w:t>出店加速を続けるならエクイティ性資金の調達が遠からず必要</w:t>
      </w:r>
      <w:r>
        <w:rPr>
          <w:b w:val="0"/>
          <w:i/>
        </w:rPr>
        <w:t>になることを示唆する。TPMは調達機能が限定的なため、現実的な選択肢は (1) 一般市場へのステップアップによる公募増資、(2) AHC等戦略投資家からの第三者割当、(3) 借入余力の範囲での慎重な出店、のいずれか。</w:t>
      </w:r>
      <w:r>
        <w:rPr>
          <w:b/>
          <w:i/>
        </w:rPr>
        <w:t>「成長スピード」と「財務健全性・黒字維持」は明確なトレードオフ</w:t>
      </w:r>
      <w:r>
        <w:rPr>
          <w:b w:val="0"/>
          <w:i/>
        </w:rPr>
        <w:t>にあり、ここが本件の財務上の核心論点である。</w:t>
      </w:r>
    </w:p>
    <w:p>
      <w:pPr>
        <w:pStyle w:val="Heading1"/>
      </w:pPr>
      <w:r>
        <w:rPr>
          <w:b w:val="0"/>
          <w:i w:val="0"/>
        </w:rPr>
        <w:t>6. 成長戦略・経営計画</w:t>
      </w:r>
    </w:p>
    <w:p>
      <w:pPr>
        <w:pStyle w:val="Heading2"/>
      </w:pPr>
      <w:r>
        <w:rPr>
          <w:b w:val="0"/>
          <w:i w:val="0"/>
        </w:rPr>
        <w:t>6.1 開示されている「計画」の整理</w:t>
      </w:r>
    </w:p>
    <w:p>
      <w:r>
        <w:rPr>
          <w:b w:val="0"/>
          <w:i w:val="0"/>
        </w:rPr>
        <w:t>TPM企業であるため、一般市場のような</w:t>
      </w:r>
      <w:r>
        <w:rPr>
          <w:b/>
          <w:i w:val="0"/>
        </w:rPr>
        <w:t>数値目標付きの正式な中期経営計画書は公表されていない</w:t>
      </w:r>
      <w:r>
        <w:rPr>
          <w:b w:val="0"/>
          <w:i w:val="0"/>
        </w:rPr>
        <w:t>。現時点の対外的な「計画」は、</w:t>
      </w:r>
      <w:r>
        <w:rPr>
          <w:b/>
          <w:i w:val="0"/>
        </w:rPr>
        <w:t>FY2026単年度の業績予想（売上高1,305,905千円・営業利益18,968千円・経常利益16,952千円・純利益3,441千円・EPS2.19円）</w:t>
      </w:r>
      <w:r>
        <w:rPr>
          <w:b w:val="0"/>
          <w:i w:val="0"/>
        </w:rPr>
        <w:t xml:space="preserve">が中心。決算短信「今後の見通し」では、(1) </w:t>
      </w:r>
      <w:r>
        <w:rPr>
          <w:b/>
          <w:i w:val="0"/>
        </w:rPr>
        <w:t>既存事業所の営業管理体制・人事施策の強化による「1事業所あたり収益の最大化」</w:t>
      </w:r>
      <w:r>
        <w:rPr>
          <w:b w:val="0"/>
          <w:i w:val="0"/>
        </w:rPr>
        <w:t xml:space="preserve">、(2) </w:t>
      </w:r>
      <w:r>
        <w:rPr>
          <w:b/>
          <w:i w:val="0"/>
        </w:rPr>
        <w:t>周辺領域での新サービス開発による中長期成長基盤の構築</w:t>
      </w:r>
      <w:r>
        <w:rPr>
          <w:b w:val="0"/>
          <w:i w:val="0"/>
        </w:rPr>
        <w:t>、を方針として掲げる。中期の具体策はIR・プレスリリース・経営者インタビューから以下のように読み取れる。</w:t>
      </w:r>
    </w:p>
    <w:p>
      <w:pPr>
        <w:pStyle w:val="Heading2"/>
      </w:pPr>
      <w:r>
        <w:rPr>
          <w:b w:val="0"/>
          <w:i w:val="0"/>
        </w:rPr>
        <w:t>6.2 成長ドライバー（4本柱）</w:t>
      </w:r>
    </w:p>
    <w:p>
      <w:pPr>
        <w:pStyle w:val="ListNumber"/>
      </w:pPr>
      <w:r>
        <w:rPr>
          <w:b/>
          <w:i w:val="0"/>
        </w:rPr>
        <w:t>拠点ネットワークの拡大（直営＋CSP）</w:t>
      </w:r>
    </w:p>
    <w:p>
      <w:pPr>
        <w:pStyle w:val="ListBullet2"/>
      </w:pPr>
      <w:r>
        <w:rPr>
          <w:b w:val="0"/>
          <w:i w:val="0"/>
        </w:rPr>
        <w:t>2024年5月時点34拠点 → 2025年時点で約42拠点（CSP含む、創業10年目）。</w:t>
      </w:r>
    </w:p>
    <w:p>
      <w:pPr>
        <w:pStyle w:val="ListBullet2"/>
      </w:pPr>
      <w:r>
        <w:rPr>
          <w:b w:val="0"/>
          <w:i w:val="0"/>
        </w:rPr>
        <w:t>2024年は愛知（岡崎）、鹿児島など</w:t>
      </w:r>
      <w:r>
        <w:rPr>
          <w:b/>
          <w:i w:val="0"/>
        </w:rPr>
        <w:t>地方への新規出店を加速</w:t>
      </w:r>
      <w:r>
        <w:rPr>
          <w:b w:val="0"/>
          <w:i w:val="0"/>
        </w:rPr>
        <w:t>。2025年もmanaby CREATORS（幕張本郷・八戸・長町南）、仙台西口、manaby川越などの開設が続く。</w:t>
      </w:r>
    </w:p>
    <w:p>
      <w:pPr>
        <w:pStyle w:val="ListBullet2"/>
      </w:pPr>
      <w:r>
        <w:rPr>
          <w:b/>
          <w:i w:val="0"/>
        </w:rPr>
        <w:t>CSPによるアセットライトな拡大</w:t>
      </w:r>
      <w:r>
        <w:rPr>
          <w:b w:val="0"/>
          <w:i w:val="0"/>
        </w:rPr>
        <w:t>が、自己資本制約下での成長の鍵。</w:t>
      </w:r>
    </w:p>
    <w:p>
      <w:pPr>
        <w:pStyle w:val="ListNumber"/>
      </w:pPr>
      <w:r>
        <w:rPr>
          <w:b/>
          <w:i w:val="0"/>
        </w:rPr>
        <w:t>eラーニング「マナe」の外販（SaaS化）</w:t>
      </w:r>
    </w:p>
    <w:p>
      <w:pPr>
        <w:pStyle w:val="ListBullet2"/>
      </w:pPr>
      <w:r>
        <w:rPr>
          <w:b w:val="0"/>
          <w:i w:val="0"/>
        </w:rPr>
        <w:t>自社の訓練ノウハウを他事業所へ外販（全国50か所以上で利用）。</w:t>
      </w:r>
      <w:r>
        <w:rPr>
          <w:b/>
          <w:i w:val="0"/>
        </w:rPr>
        <w:t>限界費用が低く利益率の高いストック型収益</w:t>
      </w:r>
      <w:r>
        <w:rPr>
          <w:b w:val="0"/>
          <w:i w:val="0"/>
        </w:rPr>
        <w:t>で、福祉事業所向けSaaSという新たな収益柱に育つ可能性。</w:t>
      </w:r>
    </w:p>
    <w:p>
      <w:pPr>
        <w:pStyle w:val="ListNumber"/>
      </w:pPr>
      <w:r>
        <w:rPr>
          <w:b/>
          <w:i w:val="0"/>
        </w:rPr>
        <w:t>オンライン就労支援「manaby WORKS」（サブスク）</w:t>
      </w:r>
    </w:p>
    <w:p>
      <w:pPr>
        <w:pStyle w:val="ListBullet2"/>
      </w:pPr>
      <w:r>
        <w:rPr>
          <w:b w:val="0"/>
          <w:i w:val="0"/>
        </w:rPr>
        <w:t>障害福祉サービスを使えない層（在職者等）を取り込む</w:t>
      </w:r>
      <w:r>
        <w:rPr>
          <w:b/>
          <w:i w:val="0"/>
        </w:rPr>
        <w:t>定額制B2Cモデル</w:t>
      </w:r>
      <w:r>
        <w:rPr>
          <w:b w:val="0"/>
          <w:i w:val="0"/>
        </w:rPr>
        <w:t>。制度（自治体報酬）に依存しない収益源として、TAM拡張とディフェンシブ性に寄与。</w:t>
      </w:r>
    </w:p>
    <w:p>
      <w:pPr>
        <w:pStyle w:val="ListNumber"/>
      </w:pPr>
      <w:r>
        <w:rPr>
          <w:b/>
          <w:i w:val="0"/>
        </w:rPr>
        <w:t>AHCグループとの資本業務提携（DX推進）</w:t>
      </w:r>
    </w:p>
    <w:p>
      <w:pPr>
        <w:pStyle w:val="ListBullet2"/>
      </w:pPr>
      <w:r>
        <w:rPr>
          <w:b w:val="0"/>
          <w:i w:val="0"/>
        </w:rPr>
        <w:t>2024年5月締結。AHCは児童発達支援・放課後等デイ・就労移行などを</w:t>
      </w:r>
      <w:r>
        <w:rPr>
          <w:b/>
          <w:i w:val="0"/>
        </w:rPr>
        <w:t>国内124拠点</w:t>
      </w:r>
      <w:r>
        <w:rPr>
          <w:b w:val="0"/>
          <w:i w:val="0"/>
        </w:rPr>
        <w:t>で展開する福祉事業者。</w:t>
      </w:r>
      <w:r>
        <w:rPr>
          <w:b/>
          <w:i w:val="0"/>
        </w:rPr>
        <w:t>障害福祉分野のITを活用した構造改革・就労支援環境の構築</w:t>
      </w:r>
      <w:r>
        <w:rPr>
          <w:b w:val="0"/>
          <w:i w:val="0"/>
        </w:rPr>
        <w:t>が提携目的。AHCはmanaby株50,000株（3.18%）を取得。</w:t>
      </w:r>
    </w:p>
    <w:p>
      <w:pPr>
        <w:pStyle w:val="ListBullet2"/>
      </w:pPr>
      <w:r>
        <w:rPr>
          <w:b w:val="0"/>
          <w:i w:val="0"/>
        </w:rPr>
        <w:t>manabyのIT・eラーニング基盤 × AHCの拠点網・福祉オペレーションという</w:t>
      </w:r>
      <w:r>
        <w:rPr>
          <w:b/>
          <w:i w:val="0"/>
        </w:rPr>
        <w:t>相互補完</w:t>
      </w:r>
      <w:r>
        <w:rPr>
          <w:b w:val="0"/>
          <w:i w:val="0"/>
        </w:rPr>
        <w:t>。DXプロダクトの販路拡大、共同サービス開発、将来的な連携深化（資本関係の拡大やM&amp;A）の布石になり得る。</w:t>
      </w:r>
    </w:p>
    <w:p>
      <w:pPr>
        <w:pStyle w:val="ListNumber"/>
      </w:pPr>
      <w:r>
        <w:rPr>
          <w:b/>
          <w:i w:val="0"/>
        </w:rPr>
        <w:t>事業譲受（タックインM&amp;A）による拠点・領域の取り込み</w:t>
      </w:r>
    </w:p>
    <w:p>
      <w:pPr>
        <w:pStyle w:val="ListBullet2"/>
      </w:pPr>
      <w:r>
        <w:rPr>
          <w:b w:val="0"/>
          <w:i w:val="0"/>
        </w:rPr>
        <w:t>決算短信で確認できる買収（事業譲受）実績は計4件：</w:t>
      </w:r>
      <w:r>
        <w:rPr>
          <w:b/>
          <w:i w:val="0"/>
        </w:rPr>
        <w:t>①2023年1月「manaby相模原駅前・千葉中央・行徳駅前」3事業所（奥洲物産運輸株より、関東進出の起点）／②2023年6月「manaby大宮」（株スタンディより、関東拡大）／③2024年3月「manaby CREATORS大河原」＋放課後等デイ「バンビ・アイランド船岡・角田」（エーシーイー株より、新年齢層へ）／④2024年11月「manaby山形」（株スタンディより、東北拡大）</w:t>
      </w:r>
      <w:r>
        <w:rPr>
          <w:b w:val="0"/>
          <w:i w:val="0"/>
        </w:rPr>
        <w:t>。加えて2024年12月に放課後等デイ「manabyCampus柴田」を直営オープン。</w:t>
      </w:r>
    </w:p>
    <w:p>
      <w:pPr>
        <w:pStyle w:val="ListBullet2"/>
      </w:pPr>
      <w:r>
        <w:rPr>
          <w:b/>
          <w:i w:val="0"/>
        </w:rPr>
        <w:t>規模に対してM&amp;Aを積極活用</w:t>
      </w:r>
      <w:r>
        <w:rPr>
          <w:b w:val="0"/>
          <w:i w:val="0"/>
        </w:rPr>
        <w:t>しており、①でのれんが4→38百万円に急増、以降47百万円へ。</w:t>
      </w:r>
      <w:r>
        <w:rPr>
          <w:b/>
          <w:i w:val="0"/>
        </w:rPr>
        <w:t>断片的な業界をロールアップする「buy side」戦略を実際に実行</w:t>
      </w:r>
      <w:r>
        <w:rPr>
          <w:b w:val="0"/>
          <w:i w:val="0"/>
        </w:rPr>
        <w:t>しているが、新規開設（ゼロからの定員充足に1〜2年）より立ち上がりが速い反面、</w:t>
      </w:r>
      <w:r>
        <w:rPr>
          <w:b/>
          <w:i w:val="0"/>
        </w:rPr>
        <w:t>のれん償却（年約10百万円）・DTA・運転資本負担が薄利・薄資本を圧迫</w:t>
      </w:r>
      <w:r>
        <w:rPr>
          <w:b w:val="0"/>
          <w:i w:val="0"/>
        </w:rPr>
        <w:t>する。増収率（FY2024+31%等）の相当部分がM&amp;A寄与である点は、オーガニック成長力を評価する上で割り引いて見る必要がある。</w:t>
      </w:r>
    </w:p>
    <w:p>
      <w:pPr>
        <w:pStyle w:val="Heading2"/>
      </w:pPr>
      <w:r>
        <w:rPr>
          <w:b w:val="0"/>
          <w:i w:val="0"/>
        </w:rPr>
        <w:t>6.3 KPIダッシュボード（支援実績）</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KPI</w:t>
            </w:r>
          </w:p>
        </w:tc>
        <w:tc>
          <w:tcPr>
            <w:tcW w:type="dxa" w:w="2880"/>
            <w:shd w:val="clear" w:color="auto" w:fill="D9E2F3"/>
          </w:tcPr>
          <w:p>
            <w:r>
              <w:rPr>
                <w:b/>
              </w:rPr>
            </w:r>
            <w:r>
              <w:rPr>
                <w:b/>
                <w:i w:val="0"/>
              </w:rPr>
              <w:t>数値</w:t>
            </w:r>
          </w:p>
        </w:tc>
        <w:tc>
          <w:tcPr>
            <w:tcW w:type="dxa" w:w="2880"/>
            <w:shd w:val="clear" w:color="auto" w:fill="D9E2F3"/>
          </w:tcPr>
          <w:p>
            <w:r>
              <w:rPr>
                <w:b/>
              </w:rPr>
            </w:r>
            <w:r>
              <w:rPr>
                <w:b/>
                <w:i w:val="0"/>
              </w:rPr>
              <w:t>時点</w:t>
            </w:r>
          </w:p>
        </w:tc>
      </w:tr>
      <w:tr>
        <w:tc>
          <w:tcPr>
            <w:tcW w:type="dxa" w:w="2880"/>
          </w:tcPr>
          <w:p>
            <w:r/>
            <w:r>
              <w:rPr>
                <w:b w:val="0"/>
                <w:i w:val="0"/>
              </w:rPr>
              <w:t>利用者数</w:t>
            </w:r>
          </w:p>
        </w:tc>
        <w:tc>
          <w:tcPr>
            <w:tcW w:type="dxa" w:w="2880"/>
          </w:tcPr>
          <w:p>
            <w:r/>
            <w:r>
              <w:rPr>
                <w:b w:val="0"/>
                <w:i w:val="0"/>
              </w:rPr>
              <w:t>3,106名</w:t>
            </w:r>
          </w:p>
        </w:tc>
        <w:tc>
          <w:tcPr>
            <w:tcW w:type="dxa" w:w="2880"/>
          </w:tcPr>
          <w:p>
            <w:r/>
            <w:r>
              <w:rPr>
                <w:b w:val="0"/>
                <w:i w:val="0"/>
              </w:rPr>
              <w:t>2024年2月</w:t>
            </w:r>
          </w:p>
        </w:tc>
      </w:tr>
      <w:tr>
        <w:tc>
          <w:tcPr>
            <w:tcW w:type="dxa" w:w="2880"/>
          </w:tcPr>
          <w:p>
            <w:r/>
            <w:r>
              <w:rPr>
                <w:b w:val="0"/>
                <w:i w:val="0"/>
              </w:rPr>
              <w:t>拠点数</w:t>
            </w:r>
          </w:p>
        </w:tc>
        <w:tc>
          <w:tcPr>
            <w:tcW w:type="dxa" w:w="2880"/>
          </w:tcPr>
          <w:p>
            <w:r/>
            <w:r>
              <w:rPr>
                <w:b w:val="0"/>
                <w:i w:val="0"/>
              </w:rPr>
              <w:t>約42拠点（直営＋CSP）</w:t>
            </w:r>
          </w:p>
        </w:tc>
        <w:tc>
          <w:tcPr>
            <w:tcW w:type="dxa" w:w="2880"/>
          </w:tcPr>
          <w:p>
            <w:r/>
            <w:r>
              <w:rPr>
                <w:b w:val="0"/>
                <w:i w:val="0"/>
              </w:rPr>
              <w:t>2025年（創業10年目）</w:t>
            </w:r>
          </w:p>
        </w:tc>
      </w:tr>
      <w:tr>
        <w:tc>
          <w:tcPr>
            <w:tcW w:type="dxa" w:w="2880"/>
          </w:tcPr>
          <w:p>
            <w:r/>
            <w:r>
              <w:rPr>
                <w:b w:val="0"/>
                <w:i w:val="0"/>
              </w:rPr>
              <w:t>就職率</w:t>
            </w:r>
          </w:p>
        </w:tc>
        <w:tc>
          <w:tcPr>
            <w:tcW w:type="dxa" w:w="2880"/>
          </w:tcPr>
          <w:p>
            <w:r/>
            <w:r>
              <w:rPr>
                <w:b w:val="0"/>
                <w:i w:val="0"/>
              </w:rPr>
              <w:t>86.0%</w:t>
            </w:r>
          </w:p>
        </w:tc>
        <w:tc>
          <w:tcPr>
            <w:tcW w:type="dxa" w:w="2880"/>
          </w:tcPr>
          <w:p>
            <w:r/>
            <w:r>
              <w:rPr>
                <w:b w:val="0"/>
                <w:i w:val="0"/>
              </w:rPr>
              <w:t>2022年度</w:t>
            </w:r>
          </w:p>
        </w:tc>
      </w:tr>
      <w:tr>
        <w:tc>
          <w:tcPr>
            <w:tcW w:type="dxa" w:w="2880"/>
          </w:tcPr>
          <w:p>
            <w:r/>
            <w:r>
              <w:rPr>
                <w:b w:val="0"/>
                <w:i w:val="0"/>
              </w:rPr>
              <w:t>6ヶ月定着率</w:t>
            </w:r>
          </w:p>
        </w:tc>
        <w:tc>
          <w:tcPr>
            <w:tcW w:type="dxa" w:w="2880"/>
          </w:tcPr>
          <w:p>
            <w:r/>
            <w:r>
              <w:rPr>
                <w:b w:val="0"/>
                <w:i w:val="0"/>
              </w:rPr>
              <w:t>85.7%</w:t>
            </w:r>
          </w:p>
        </w:tc>
        <w:tc>
          <w:tcPr>
            <w:tcW w:type="dxa" w:w="2880"/>
          </w:tcPr>
          <w:p>
            <w:r/>
            <w:r>
              <w:rPr>
                <w:b w:val="0"/>
                <w:i w:val="0"/>
              </w:rPr>
              <w:t>—</w:t>
            </w:r>
          </w:p>
        </w:tc>
      </w:tr>
      <w:tr>
        <w:tc>
          <w:tcPr>
            <w:tcW w:type="dxa" w:w="2880"/>
          </w:tcPr>
          <w:p>
            <w:r/>
            <w:r>
              <w:rPr>
                <w:b w:val="0"/>
                <w:i w:val="0"/>
              </w:rPr>
              <w:t>在宅就労率</w:t>
            </w:r>
          </w:p>
        </w:tc>
        <w:tc>
          <w:tcPr>
            <w:tcW w:type="dxa" w:w="2880"/>
          </w:tcPr>
          <w:p>
            <w:r/>
            <w:r>
              <w:rPr>
                <w:b w:val="0"/>
                <w:i w:val="0"/>
              </w:rPr>
              <w:t>21.4%</w:t>
            </w:r>
          </w:p>
        </w:tc>
        <w:tc>
          <w:tcPr>
            <w:tcW w:type="dxa" w:w="2880"/>
          </w:tcPr>
          <w:p>
            <w:r/>
            <w:r>
              <w:rPr>
                <w:b w:val="0"/>
                <w:i w:val="0"/>
              </w:rPr>
              <w:t>—</w:t>
            </w:r>
          </w:p>
        </w:tc>
      </w:tr>
      <w:tr>
        <w:tc>
          <w:tcPr>
            <w:tcW w:type="dxa" w:w="2880"/>
          </w:tcPr>
          <w:p>
            <w:r/>
            <w:r>
              <w:rPr>
                <w:b w:val="0"/>
                <w:i w:val="0"/>
              </w:rPr>
              <w:t>就職先職種</w:t>
            </w:r>
          </w:p>
        </w:tc>
        <w:tc>
          <w:tcPr>
            <w:tcW w:type="dxa" w:w="2880"/>
          </w:tcPr>
          <w:p>
            <w:r/>
            <w:r>
              <w:rPr>
                <w:b w:val="0"/>
                <w:i w:val="0"/>
              </w:rPr>
              <w:t>事務 約7割／IT・クリエイティブ 約2割</w:t>
            </w:r>
          </w:p>
        </w:tc>
        <w:tc>
          <w:tcPr>
            <w:tcW w:type="dxa" w:w="2880"/>
          </w:tcPr>
          <w:p>
            <w:r/>
            <w:r>
              <w:rPr>
                <w:b w:val="0"/>
                <w:i w:val="0"/>
              </w:rPr>
              <w:t>—</w:t>
            </w:r>
          </w:p>
        </w:tc>
      </w:tr>
      <w:tr>
        <w:tc>
          <w:tcPr>
            <w:tcW w:type="dxa" w:w="2880"/>
          </w:tcPr>
          <w:p>
            <w:r/>
            <w:r>
              <w:rPr>
                <w:b w:val="0"/>
                <w:i w:val="0"/>
              </w:rPr>
              <w:t>就職先の雇用形態</w:t>
            </w:r>
          </w:p>
        </w:tc>
        <w:tc>
          <w:tcPr>
            <w:tcW w:type="dxa" w:w="2880"/>
          </w:tcPr>
          <w:p>
            <w:r/>
            <w:r>
              <w:rPr>
                <w:b w:val="0"/>
                <w:i w:val="0"/>
              </w:rPr>
              <w:t>約7割が特例子会社・障害者雇用枠</w:t>
            </w:r>
          </w:p>
        </w:tc>
        <w:tc>
          <w:tcPr>
            <w:tcW w:type="dxa" w:w="2880"/>
          </w:tcPr>
          <w:p>
            <w:r/>
            <w:r>
              <w:rPr>
                <w:b w:val="0"/>
                <w:i w:val="0"/>
              </w:rPr>
              <w:t>—</w:t>
            </w:r>
          </w:p>
        </w:tc>
      </w:tr>
    </w:tbl>
    <w:p/>
    <w:p>
      <w:pPr>
        <w:pStyle w:val="ListBullet"/>
      </w:pPr>
      <w:r>
        <w:rPr>
          <w:b/>
          <w:i w:val="0"/>
        </w:rPr>
        <w:t>定着率85.7%は業界高水準（大手LITALICOの90%前後に迫る）</w:t>
      </w:r>
      <w:r>
        <w:rPr>
          <w:b w:val="0"/>
          <w:i w:val="0"/>
        </w:rPr>
        <w:t>。報酬単価が実績連動であることを踏まえると、この高定着率は収益性の下支え要因。</w:t>
      </w:r>
    </w:p>
    <w:p>
      <w:pPr>
        <w:pStyle w:val="Heading1"/>
      </w:pPr>
      <w:r>
        <w:rPr>
          <w:b w:val="0"/>
          <w:i w:val="0"/>
        </w:rPr>
        <w:t>7. 資本政策・株式市場の観点</w:t>
      </w:r>
    </w:p>
    <w:p>
      <w:pPr>
        <w:pStyle w:val="Heading2"/>
      </w:pPr>
      <w:r>
        <w:rPr>
          <w:b w:val="0"/>
          <w:i w:val="0"/>
        </w:rPr>
        <w:t>7.1 TOKYO PRO Marketという「器」の特性</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項目</w:t>
            </w:r>
          </w:p>
        </w:tc>
        <w:tc>
          <w:tcPr>
            <w:tcW w:type="dxa" w:w="2880"/>
            <w:shd w:val="clear" w:color="auto" w:fill="D9E2F3"/>
          </w:tcPr>
          <w:p>
            <w:r>
              <w:rPr>
                <w:b/>
              </w:rPr>
            </w:r>
            <w:r>
              <w:rPr>
                <w:b/>
                <w:i w:val="0"/>
              </w:rPr>
              <w:t>TPMの特徴</w:t>
            </w:r>
          </w:p>
        </w:tc>
        <w:tc>
          <w:tcPr>
            <w:tcW w:type="dxa" w:w="2880"/>
            <w:shd w:val="clear" w:color="auto" w:fill="D9E2F3"/>
          </w:tcPr>
          <w:p>
            <w:r>
              <w:rPr>
                <w:b/>
              </w:rPr>
            </w:r>
            <w:r>
              <w:rPr>
                <w:b/>
                <w:i w:val="0"/>
              </w:rPr>
              <w:t>manabyへの含意</w:t>
            </w:r>
          </w:p>
        </w:tc>
      </w:tr>
      <w:tr>
        <w:tc>
          <w:tcPr>
            <w:tcW w:type="dxa" w:w="2880"/>
          </w:tcPr>
          <w:p>
            <w:r/>
            <w:r>
              <w:rPr>
                <w:b w:val="0"/>
                <w:i w:val="0"/>
              </w:rPr>
              <w:t>上場基準</w:t>
            </w:r>
          </w:p>
        </w:tc>
        <w:tc>
          <w:tcPr>
            <w:tcW w:type="dxa" w:w="2880"/>
          </w:tcPr>
          <w:p>
            <w:r/>
            <w:r>
              <w:rPr>
                <w:b w:val="0"/>
                <w:i w:val="0"/>
              </w:rPr>
              <w:t>形式基準（利益額・株主数・流通株式比率）なし</w:t>
            </w:r>
          </w:p>
        </w:tc>
        <w:tc>
          <w:tcPr>
            <w:tcW w:type="dxa" w:w="2880"/>
          </w:tcPr>
          <w:p>
            <w:r/>
            <w:r>
              <w:rPr>
                <w:b w:val="0"/>
                <w:i w:val="0"/>
              </w:rPr>
              <w:t>小規模・赤字でも上場維持可能</w:t>
            </w:r>
          </w:p>
        </w:tc>
      </w:tr>
      <w:tr>
        <w:tc>
          <w:tcPr>
            <w:tcW w:type="dxa" w:w="2880"/>
          </w:tcPr>
          <w:p>
            <w:r/>
            <w:r>
              <w:rPr>
                <w:b w:val="0"/>
                <w:i w:val="0"/>
              </w:rPr>
              <w:t>投資家</w:t>
            </w:r>
          </w:p>
        </w:tc>
        <w:tc>
          <w:tcPr>
            <w:tcW w:type="dxa" w:w="2880"/>
          </w:tcPr>
          <w:p>
            <w:r/>
            <w:r>
              <w:rPr>
                <w:b w:val="0"/>
                <w:i w:val="0"/>
              </w:rPr>
              <w:t>プロ投資家（特定投資家）に限定</w:t>
            </w:r>
          </w:p>
        </w:tc>
        <w:tc>
          <w:tcPr>
            <w:tcW w:type="dxa" w:w="2880"/>
          </w:tcPr>
          <w:p>
            <w:r/>
            <w:r>
              <w:rPr>
                <w:b/>
                <w:i w:val="0"/>
              </w:rPr>
              <w:t>流動性が極端に低く、株価は実質的に資金調達・時価評価の機能を果たしにくい</w:t>
            </w:r>
          </w:p>
        </w:tc>
      </w:tr>
      <w:tr>
        <w:tc>
          <w:tcPr>
            <w:tcW w:type="dxa" w:w="2880"/>
          </w:tcPr>
          <w:p>
            <w:r/>
            <w:r>
              <w:rPr>
                <w:b w:val="0"/>
                <w:i w:val="0"/>
              </w:rPr>
              <w:t>開示</w:t>
            </w:r>
          </w:p>
        </w:tc>
        <w:tc>
          <w:tcPr>
            <w:tcW w:type="dxa" w:w="2880"/>
          </w:tcPr>
          <w:p>
            <w:r/>
            <w:r>
              <w:rPr>
                <w:b w:val="0"/>
                <w:i w:val="0"/>
              </w:rPr>
              <w:t>四半期開示・有報義務なし（短信・半期発行者情報）</w:t>
            </w:r>
          </w:p>
        </w:tc>
        <w:tc>
          <w:tcPr>
            <w:tcW w:type="dxa" w:w="2880"/>
          </w:tcPr>
          <w:p>
            <w:r/>
            <w:r>
              <w:rPr>
                <w:b w:val="0"/>
                <w:i w:val="0"/>
              </w:rPr>
              <w:t>開示負担は軽いが、情報の厚みは一般市場に劣る</w:t>
            </w:r>
          </w:p>
        </w:tc>
      </w:tr>
      <w:tr>
        <w:tc>
          <w:tcPr>
            <w:tcW w:type="dxa" w:w="2880"/>
          </w:tcPr>
          <w:p>
            <w:r/>
            <w:r>
              <w:rPr>
                <w:b w:val="0"/>
                <w:i w:val="0"/>
              </w:rPr>
              <w:t>オーナーシップ</w:t>
            </w:r>
          </w:p>
        </w:tc>
        <w:tc>
          <w:tcPr>
            <w:tcW w:type="dxa" w:w="2880"/>
          </w:tcPr>
          <w:p>
            <w:r/>
            <w:r>
              <w:rPr>
                <w:b w:val="0"/>
                <w:i w:val="0"/>
              </w:rPr>
              <w:t>株主を増やさず上場可能</w:t>
            </w:r>
          </w:p>
        </w:tc>
        <w:tc>
          <w:tcPr>
            <w:tcW w:type="dxa" w:w="2880"/>
          </w:tcPr>
          <w:p>
            <w:r/>
            <w:r>
              <w:rPr>
                <w:b w:val="0"/>
                <w:i w:val="0"/>
              </w:rPr>
              <w:t>創業者支配を維持したまま「上場企業」の信用・採用力を獲得</w:t>
            </w:r>
          </w:p>
        </w:tc>
      </w:tr>
    </w:tbl>
    <w:p/>
    <w:p>
      <w:pPr>
        <w:pStyle w:val="ListBullet"/>
      </w:pPr>
      <w:r>
        <w:rPr>
          <w:b w:val="0"/>
          <w:i w:val="0"/>
        </w:rPr>
        <w:t>manabyにとってTPM上場の主目的は、</w:t>
      </w:r>
      <w:r>
        <w:rPr>
          <w:b/>
          <w:i w:val="0"/>
        </w:rPr>
        <w:t>資金調達よりも「上場企業としての社会的信用・採用力・取引信用の獲得」</w:t>
      </w:r>
      <w:r>
        <w:rPr>
          <w:b w:val="0"/>
          <w:i w:val="0"/>
        </w:rPr>
        <w:t>にあったと考えられる（仙台未来創造企業としての地域シンボル性も含む）。</w:t>
      </w:r>
    </w:p>
    <w:p>
      <w:pPr>
        <w:pStyle w:val="Heading2"/>
      </w:pPr>
      <w:r>
        <w:rPr>
          <w:b w:val="0"/>
          <w:i w:val="0"/>
        </w:rPr>
        <w:t>7.2 株主構成（上場時ベース）</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株主</w:t>
            </w:r>
          </w:p>
        </w:tc>
        <w:tc>
          <w:tcPr>
            <w:tcW w:type="dxa" w:w="2880"/>
            <w:shd w:val="clear" w:color="auto" w:fill="D9E2F3"/>
          </w:tcPr>
          <w:p>
            <w:r>
              <w:rPr>
                <w:b/>
              </w:rPr>
            </w:r>
            <w:r>
              <w:rPr>
                <w:b/>
                <w:i w:val="0"/>
              </w:rPr>
              <w:t>持株比率</w:t>
            </w:r>
          </w:p>
        </w:tc>
        <w:tc>
          <w:tcPr>
            <w:tcW w:type="dxa" w:w="2880"/>
            <w:shd w:val="clear" w:color="auto" w:fill="D9E2F3"/>
          </w:tcPr>
          <w:p>
            <w:r>
              <w:rPr>
                <w:b/>
              </w:rPr>
            </w:r>
            <w:r>
              <w:rPr>
                <w:b/>
                <w:i w:val="0"/>
              </w:rPr>
              <w:t>備考</w:t>
            </w:r>
          </w:p>
        </w:tc>
      </w:tr>
      <w:tr>
        <w:tc>
          <w:tcPr>
            <w:tcW w:type="dxa" w:w="2880"/>
          </w:tcPr>
          <w:p>
            <w:r/>
            <w:r>
              <w:rPr>
                <w:b w:val="0"/>
                <w:i w:val="0"/>
              </w:rPr>
              <w:t>岡﨑　衛（代表取締役社長）</w:t>
            </w:r>
          </w:p>
        </w:tc>
        <w:tc>
          <w:tcPr>
            <w:tcW w:type="dxa" w:w="2880"/>
          </w:tcPr>
          <w:p>
            <w:r/>
            <w:r>
              <w:rPr>
                <w:b w:val="0"/>
                <w:i w:val="0"/>
              </w:rPr>
              <w:t>54.74%</w:t>
            </w:r>
          </w:p>
        </w:tc>
        <w:tc>
          <w:tcPr>
            <w:tcW w:type="dxa" w:w="2880"/>
          </w:tcPr>
          <w:p>
            <w:r/>
            <w:r>
              <w:rPr>
                <w:b w:val="0"/>
                <w:i w:val="0"/>
              </w:rPr>
              <w:t>創業者</w:t>
            </w:r>
          </w:p>
        </w:tc>
      </w:tr>
      <w:tr>
        <w:tc>
          <w:tcPr>
            <w:tcW w:type="dxa" w:w="2880"/>
          </w:tcPr>
          <w:p>
            <w:r/>
            <w:r>
              <w:rPr>
                <w:b w:val="0"/>
                <w:i w:val="0"/>
              </w:rPr>
              <w:t>株式会社ユニークアイ</w:t>
            </w:r>
          </w:p>
        </w:tc>
        <w:tc>
          <w:tcPr>
            <w:tcW w:type="dxa" w:w="2880"/>
          </w:tcPr>
          <w:p>
            <w:r/>
            <w:r>
              <w:rPr>
                <w:b w:val="0"/>
                <w:i w:val="0"/>
              </w:rPr>
              <w:t>22.27%</w:t>
            </w:r>
          </w:p>
        </w:tc>
        <w:tc>
          <w:tcPr>
            <w:tcW w:type="dxa" w:w="2880"/>
          </w:tcPr>
          <w:p>
            <w:r/>
            <w:r>
              <w:rPr>
                <w:b w:val="0"/>
                <w:i w:val="0"/>
              </w:rPr>
              <w:t>岡﨑氏の関連会社</w:t>
            </w:r>
          </w:p>
        </w:tc>
      </w:tr>
      <w:tr>
        <w:tc>
          <w:tcPr>
            <w:tcW w:type="dxa" w:w="2880"/>
          </w:tcPr>
          <w:p>
            <w:r/>
            <w:r>
              <w:rPr>
                <w:b w:val="0"/>
                <w:i w:val="0"/>
              </w:rPr>
              <w:t>株式会社ユニマック</w:t>
            </w:r>
          </w:p>
        </w:tc>
        <w:tc>
          <w:tcPr>
            <w:tcW w:type="dxa" w:w="2880"/>
          </w:tcPr>
          <w:p>
            <w:r/>
            <w:r>
              <w:rPr>
                <w:b w:val="0"/>
                <w:i w:val="0"/>
              </w:rPr>
              <w:t>7.36%</w:t>
            </w:r>
          </w:p>
        </w:tc>
        <w:tc>
          <w:tcPr>
            <w:tcW w:type="dxa" w:w="2880"/>
          </w:tcPr>
          <w:p>
            <w:r/>
            <w:r>
              <w:rPr>
                <w:b w:val="0"/>
                <w:i w:val="0"/>
              </w:rPr>
              <w:t>—</w:t>
            </w:r>
          </w:p>
        </w:tc>
      </w:tr>
      <w:tr>
        <w:tc>
          <w:tcPr>
            <w:tcW w:type="dxa" w:w="2880"/>
          </w:tcPr>
          <w:p>
            <w:r/>
            <w:r>
              <w:rPr>
                <w:b w:val="0"/>
                <w:i w:val="0"/>
              </w:rPr>
              <w:t>株式会社トシノリ</w:t>
            </w:r>
          </w:p>
        </w:tc>
        <w:tc>
          <w:tcPr>
            <w:tcW w:type="dxa" w:w="2880"/>
          </w:tcPr>
          <w:p>
            <w:r/>
            <w:r>
              <w:rPr>
                <w:b w:val="0"/>
                <w:i w:val="0"/>
              </w:rPr>
              <w:t>6.11%</w:t>
            </w:r>
          </w:p>
        </w:tc>
        <w:tc>
          <w:tcPr>
            <w:tcW w:type="dxa" w:w="2880"/>
          </w:tcPr>
          <w:p>
            <w:r/>
            <w:r>
              <w:rPr>
                <w:b w:val="0"/>
                <w:i w:val="0"/>
              </w:rPr>
              <w:t>—</w:t>
            </w:r>
          </w:p>
        </w:tc>
      </w:tr>
      <w:tr>
        <w:tc>
          <w:tcPr>
            <w:tcW w:type="dxa" w:w="2880"/>
          </w:tcPr>
          <w:p>
            <w:r/>
            <w:r>
              <w:rPr>
                <w:b w:val="0"/>
                <w:i w:val="0"/>
              </w:rPr>
              <w:t>株式会社セカイシャ</w:t>
            </w:r>
          </w:p>
        </w:tc>
        <w:tc>
          <w:tcPr>
            <w:tcW w:type="dxa" w:w="2880"/>
          </w:tcPr>
          <w:p>
            <w:r/>
            <w:r>
              <w:rPr>
                <w:b w:val="0"/>
                <w:i w:val="0"/>
              </w:rPr>
              <w:t>2.03%</w:t>
            </w:r>
          </w:p>
        </w:tc>
        <w:tc>
          <w:tcPr>
            <w:tcW w:type="dxa" w:w="2880"/>
          </w:tcPr>
          <w:p>
            <w:r/>
            <w:r>
              <w:rPr>
                <w:b w:val="0"/>
                <w:i w:val="0"/>
              </w:rPr>
              <w:t>—</w:t>
            </w:r>
          </w:p>
        </w:tc>
      </w:tr>
      <w:tr>
        <w:tc>
          <w:tcPr>
            <w:tcW w:type="dxa" w:w="2880"/>
          </w:tcPr>
          <w:p>
            <w:r/>
            <w:r>
              <w:rPr>
                <w:b w:val="0"/>
                <w:i w:val="0"/>
              </w:rPr>
              <w:t>AHCグループ株式会社</w:t>
            </w:r>
          </w:p>
        </w:tc>
        <w:tc>
          <w:tcPr>
            <w:tcW w:type="dxa" w:w="2880"/>
          </w:tcPr>
          <w:p>
            <w:r/>
            <w:r>
              <w:rPr>
                <w:b w:val="0"/>
                <w:i w:val="0"/>
              </w:rPr>
              <w:t>3.18%</w:t>
            </w:r>
          </w:p>
        </w:tc>
        <w:tc>
          <w:tcPr>
            <w:tcW w:type="dxa" w:w="2880"/>
          </w:tcPr>
          <w:p>
            <w:r/>
            <w:r>
              <w:rPr>
                <w:b w:val="0"/>
                <w:i w:val="0"/>
              </w:rPr>
              <w:t>2024年5月の資本業務提携で取得</w:t>
            </w:r>
          </w:p>
        </w:tc>
      </w:tr>
    </w:tbl>
    <w:p/>
    <w:p>
      <w:pPr>
        <w:pStyle w:val="ListBullet"/>
      </w:pPr>
      <w:r>
        <w:rPr>
          <w:b/>
          <w:i w:val="0"/>
        </w:rPr>
        <w:t>岡﨑氏＋ユニークアイで実質的に約77%を支配</w:t>
      </w:r>
      <w:r>
        <w:rPr>
          <w:b w:val="0"/>
          <w:i w:val="0"/>
        </w:rPr>
        <w:t>するオーナー企業。意思決定が速い一方、少数株主保護・ガバナンス・流動性の観点では一般市場の機関投資家が好む構造ではない。</w:t>
      </w:r>
    </w:p>
    <w:p>
      <w:pPr>
        <w:pStyle w:val="Heading2"/>
      </w:pPr>
      <w:r>
        <w:rPr>
          <w:b w:val="0"/>
          <w:i w:val="0"/>
        </w:rPr>
        <w:t>7.3 中長期の資本政策テーマ</w:t>
      </w:r>
    </w:p>
    <w:p>
      <w:pPr>
        <w:spacing w:before="80" w:after="80"/>
        <w:ind w:left="432"/>
        <w:shd w:val="clear" w:color="auto" w:fill="F2F2F2"/>
      </w:pPr>
      <w:r>
        <w:rPr>
          <w:b/>
          <w:i/>
        </w:rPr>
        <w:t>投資銀行コメント（最重要）：</w:t>
      </w:r>
      <w:r>
        <w:rPr>
          <w:b w:val="0"/>
          <w:i/>
        </w:rPr>
        <w:t xml:space="preserve"> manabyの企業価値を次のステージへ引き上げる資本政策の選択肢は概ね以下の3つ。 1. </w:t>
      </w:r>
      <w:r>
        <w:rPr>
          <w:b/>
          <w:i/>
        </w:rPr>
        <w:t>一般市場へのステップアップ（市場変更）</w:t>
      </w:r>
      <w:r>
        <w:rPr>
          <w:b w:val="0"/>
          <w:i/>
        </w:rPr>
        <w:t>：TPMはグロース等へのステップアップ上場の「練習場」として活用されることが多い。黒字の安定化・内部統制の高度化・流通株式の確保が条件。実現すれば</w:t>
      </w:r>
      <w:r>
        <w:rPr>
          <w:b/>
          <w:i/>
        </w:rPr>
        <w:t>エクイティ調達余地と時価総額の顕在化</w:t>
      </w:r>
      <w:r>
        <w:rPr>
          <w:b w:val="0"/>
          <w:i/>
        </w:rPr>
        <w:t xml:space="preserve">という最大のアップサイド。ただし現状の薄い利益と小さい流通株式は高いハードル。 2. </w:t>
      </w:r>
      <w:r>
        <w:rPr>
          <w:b/>
          <w:i/>
        </w:rPr>
        <w:t>戦略的資本提携／第三者割当の拡大</w:t>
      </w:r>
      <w:r>
        <w:rPr>
          <w:b w:val="0"/>
          <w:i/>
        </w:rPr>
        <w:t xml:space="preserve">：AHCとの関係深化、または大手（LITALICO等）・異業種（人材・教育・介護）との連携で、成長資金とシナジーを同時に獲得。 3. </w:t>
      </w:r>
      <w:r>
        <w:rPr>
          <w:b/>
          <w:i/>
        </w:rPr>
        <w:t>M&amp;Aによる規模拡大（buy side）または被買収（sell side）</w:t>
      </w:r>
      <w:r>
        <w:rPr>
          <w:b w:val="0"/>
          <w:i/>
        </w:rPr>
        <w:t>：断片的市場のロールアップ、あるいは岡﨑氏のExit／事業承継の選択肢として、大手によるmanaby買収（eラーニング資産・在宅就労ノウハウの取り込み）も合理的シナリオ。</w:t>
      </w:r>
    </w:p>
    <w:p>
      <w:pPr>
        <w:pStyle w:val="Heading1"/>
      </w:pPr>
      <w:r>
        <w:rPr>
          <w:b w:val="0"/>
          <w:i w:val="0"/>
        </w:rPr>
        <w:t>8. バリュエーションの観点</w:t>
      </w:r>
    </w:p>
    <w:p>
      <w:pPr>
        <w:pStyle w:val="Heading2"/>
      </w:pPr>
      <w:r>
        <w:rPr>
          <w:b w:val="0"/>
          <w:i w:val="0"/>
        </w:rPr>
        <w:t>8.1 マーケットデータと類似会社比較</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指標</w:t>
            </w:r>
          </w:p>
        </w:tc>
        <w:tc>
          <w:tcPr>
            <w:tcW w:type="dxa" w:w="2880"/>
            <w:shd w:val="clear" w:color="auto" w:fill="D9E2F3"/>
          </w:tcPr>
          <w:p>
            <w:r>
              <w:rPr>
                <w:b/>
              </w:rPr>
            </w:r>
            <w:r>
              <w:rPr>
                <w:b/>
                <w:i w:val="0"/>
              </w:rPr>
              <w:t>manaby（9222・TPM）</w:t>
            </w:r>
          </w:p>
        </w:tc>
        <w:tc>
          <w:tcPr>
            <w:tcW w:type="dxa" w:w="2880"/>
            <w:shd w:val="clear" w:color="auto" w:fill="D9E2F3"/>
          </w:tcPr>
          <w:p>
            <w:r>
              <w:rPr>
                <w:b/>
              </w:rPr>
            </w:r>
            <w:r>
              <w:rPr>
                <w:b/>
                <w:i w:val="0"/>
              </w:rPr>
              <w:t>LITALICO（7366・プライム）</w:t>
            </w:r>
          </w:p>
        </w:tc>
      </w:tr>
      <w:tr>
        <w:tc>
          <w:tcPr>
            <w:tcW w:type="dxa" w:w="2880"/>
          </w:tcPr>
          <w:p>
            <w:r/>
            <w:r>
              <w:rPr>
                <w:b w:val="0"/>
                <w:i w:val="0"/>
              </w:rPr>
              <w:t>売上高（直近通期）</w:t>
            </w:r>
          </w:p>
        </w:tc>
        <w:tc>
          <w:tcPr>
            <w:tcW w:type="dxa" w:w="2880"/>
          </w:tcPr>
          <w:p>
            <w:r/>
            <w:r>
              <w:rPr>
                <w:b w:val="0"/>
                <w:i w:val="0"/>
              </w:rPr>
              <w:t>1,021百万円（FY2025）</w:t>
            </w:r>
          </w:p>
        </w:tc>
        <w:tc>
          <w:tcPr>
            <w:tcW w:type="dxa" w:w="2880"/>
          </w:tcPr>
          <w:p>
            <w:r/>
            <w:r>
              <w:rPr>
                <w:b w:val="0"/>
                <w:i w:val="0"/>
              </w:rPr>
              <w:t>33,214百万円（FY2025、+20%）</w:t>
            </w:r>
          </w:p>
        </w:tc>
      </w:tr>
      <w:tr>
        <w:tc>
          <w:tcPr>
            <w:tcW w:type="dxa" w:w="2880"/>
          </w:tcPr>
          <w:p>
            <w:r/>
            <w:r>
              <w:rPr>
                <w:b w:val="0"/>
                <w:i w:val="0"/>
              </w:rPr>
              <w:t>営業損益</w:t>
            </w:r>
          </w:p>
        </w:tc>
        <w:tc>
          <w:tcPr>
            <w:tcW w:type="dxa" w:w="2880"/>
          </w:tcPr>
          <w:p>
            <w:r/>
            <w:r>
              <w:rPr>
                <w:b w:val="0"/>
                <w:i w:val="0"/>
              </w:rPr>
              <w:t>△19百万円</w:t>
            </w:r>
          </w:p>
        </w:tc>
        <w:tc>
          <w:tcPr>
            <w:tcW w:type="dxa" w:w="2880"/>
          </w:tcPr>
          <w:p>
            <w:r/>
            <w:r>
              <w:rPr>
                <w:b w:val="0"/>
                <w:i w:val="0"/>
              </w:rPr>
              <w:t>約33億円（修正計画）</w:t>
            </w:r>
          </w:p>
        </w:tc>
      </w:tr>
      <w:tr>
        <w:tc>
          <w:tcPr>
            <w:tcW w:type="dxa" w:w="2880"/>
          </w:tcPr>
          <w:p>
            <w:r/>
            <w:r>
              <w:rPr>
                <w:b w:val="0"/>
                <w:i w:val="0"/>
              </w:rPr>
              <w:t>当期純損益</w:t>
            </w:r>
          </w:p>
        </w:tc>
        <w:tc>
          <w:tcPr>
            <w:tcW w:type="dxa" w:w="2880"/>
          </w:tcPr>
          <w:p>
            <w:r/>
            <w:r>
              <w:rPr>
                <w:b w:val="0"/>
                <w:i w:val="0"/>
              </w:rPr>
              <w:t>△17百万円</w:t>
            </w:r>
          </w:p>
        </w:tc>
        <w:tc>
          <w:tcPr>
            <w:tcW w:type="dxa" w:w="2880"/>
          </w:tcPr>
          <w:p>
            <w:r/>
            <w:r>
              <w:rPr>
                <w:b w:val="0"/>
                <w:i w:val="0"/>
              </w:rPr>
              <w:t>黒字</w:t>
            </w:r>
          </w:p>
        </w:tc>
      </w:tr>
      <w:tr>
        <w:tc>
          <w:tcPr>
            <w:tcW w:type="dxa" w:w="2880"/>
          </w:tcPr>
          <w:p>
            <w:r/>
            <w:r>
              <w:rPr>
                <w:b w:val="0"/>
                <w:i w:val="0"/>
              </w:rPr>
              <w:t>時価総額</w:t>
            </w:r>
          </w:p>
        </w:tc>
        <w:tc>
          <w:tcPr>
            <w:tcW w:type="dxa" w:w="2880"/>
          </w:tcPr>
          <w:p>
            <w:r/>
            <w:r>
              <w:rPr>
                <w:b w:val="0"/>
                <w:i w:val="0"/>
              </w:rPr>
              <w:t>約2,042百万円（参照、@1,300円）</w:t>
            </w:r>
          </w:p>
        </w:tc>
        <w:tc>
          <w:tcPr>
            <w:tcW w:type="dxa" w:w="2880"/>
          </w:tcPr>
          <w:p>
            <w:r/>
            <w:r>
              <w:rPr>
                <w:b w:val="0"/>
                <w:i w:val="0"/>
              </w:rPr>
              <w:t>約41,300百万円（2026/3/30）</w:t>
            </w:r>
          </w:p>
        </w:tc>
      </w:tr>
      <w:tr>
        <w:tc>
          <w:tcPr>
            <w:tcW w:type="dxa" w:w="2880"/>
          </w:tcPr>
          <w:p>
            <w:r/>
            <w:r>
              <w:rPr>
                <w:b w:val="0"/>
                <w:i w:val="0"/>
              </w:rPr>
              <w:t>発行済株式数</w:t>
            </w:r>
          </w:p>
        </w:tc>
        <w:tc>
          <w:tcPr>
            <w:tcW w:type="dxa" w:w="2880"/>
          </w:tcPr>
          <w:p>
            <w:r/>
            <w:r>
              <w:rPr>
                <w:b w:val="0"/>
                <w:i w:val="0"/>
              </w:rPr>
              <w:t>1,571千株</w:t>
            </w:r>
          </w:p>
        </w:tc>
        <w:tc>
          <w:tcPr>
            <w:tcW w:type="dxa" w:w="2880"/>
          </w:tcPr>
          <w:p>
            <w:r/>
            <w:r>
              <w:rPr>
                <w:b w:val="0"/>
                <w:i w:val="0"/>
              </w:rPr>
              <w:t>—</w:t>
            </w:r>
          </w:p>
        </w:tc>
      </w:tr>
      <w:tr>
        <w:tc>
          <w:tcPr>
            <w:tcW w:type="dxa" w:w="2880"/>
          </w:tcPr>
          <w:p>
            <w:r/>
            <w:r>
              <w:rPr>
                <w:b w:val="0"/>
                <w:i w:val="0"/>
              </w:rPr>
              <w:t>純資産（自己資本）</w:t>
            </w:r>
          </w:p>
        </w:tc>
        <w:tc>
          <w:tcPr>
            <w:tcW w:type="dxa" w:w="2880"/>
          </w:tcPr>
          <w:p>
            <w:r/>
            <w:r>
              <w:rPr>
                <w:b w:val="0"/>
                <w:i w:val="0"/>
              </w:rPr>
              <w:t>57百万円</w:t>
            </w:r>
          </w:p>
        </w:tc>
        <w:tc>
          <w:tcPr>
            <w:tcW w:type="dxa" w:w="2880"/>
          </w:tcPr>
          <w:p>
            <w:r/>
            <w:r>
              <w:rPr>
                <w:b w:val="0"/>
                <w:i w:val="0"/>
              </w:rPr>
              <w:t>—</w:t>
            </w:r>
          </w:p>
        </w:tc>
      </w:tr>
      <w:tr>
        <w:tc>
          <w:tcPr>
            <w:tcW w:type="dxa" w:w="2880"/>
          </w:tcPr>
          <w:p>
            <w:r/>
            <w:r>
              <w:rPr>
                <w:b w:val="0"/>
                <w:i w:val="0"/>
              </w:rPr>
              <w:t>自己資本比率</w:t>
            </w:r>
          </w:p>
        </w:tc>
        <w:tc>
          <w:tcPr>
            <w:tcW w:type="dxa" w:w="2880"/>
          </w:tcPr>
          <w:p>
            <w:r/>
            <w:r>
              <w:rPr>
                <w:b w:val="0"/>
                <w:i w:val="0"/>
              </w:rPr>
              <w:t>7.2%</w:t>
            </w:r>
          </w:p>
        </w:tc>
        <w:tc>
          <w:tcPr>
            <w:tcW w:type="dxa" w:w="2880"/>
          </w:tcPr>
          <w:p>
            <w:r/>
            <w:r>
              <w:rPr>
                <w:b w:val="0"/>
                <w:i w:val="0"/>
              </w:rPr>
              <w:t>—</w:t>
            </w:r>
          </w:p>
        </w:tc>
      </w:tr>
      <w:tr>
        <w:tc>
          <w:tcPr>
            <w:tcW w:type="dxa" w:w="2880"/>
          </w:tcPr>
          <w:p>
            <w:r/>
            <w:r>
              <w:rPr>
                <w:b/>
                <w:i w:val="0"/>
              </w:rPr>
              <w:t>PSR（時価総額/売上）</w:t>
            </w:r>
          </w:p>
        </w:tc>
        <w:tc>
          <w:tcPr>
            <w:tcW w:type="dxa" w:w="2880"/>
          </w:tcPr>
          <w:p>
            <w:r/>
            <w:r>
              <w:rPr>
                <w:b/>
                <w:i w:val="0"/>
              </w:rPr>
              <w:t>約2.0倍</w:t>
            </w:r>
          </w:p>
        </w:tc>
        <w:tc>
          <w:tcPr>
            <w:tcW w:type="dxa" w:w="2880"/>
          </w:tcPr>
          <w:p>
            <w:r/>
            <w:r>
              <w:rPr>
                <w:b w:val="0"/>
                <w:i w:val="0"/>
              </w:rPr>
              <w:t>約1.2倍</w:t>
            </w:r>
          </w:p>
        </w:tc>
      </w:tr>
      <w:tr>
        <w:tc>
          <w:tcPr>
            <w:tcW w:type="dxa" w:w="2880"/>
          </w:tcPr>
          <w:p>
            <w:r/>
            <w:r>
              <w:rPr>
                <w:b/>
                <w:i w:val="0"/>
              </w:rPr>
              <w:t>PBR</w:t>
            </w:r>
          </w:p>
        </w:tc>
        <w:tc>
          <w:tcPr>
            <w:tcW w:type="dxa" w:w="2880"/>
          </w:tcPr>
          <w:p>
            <w:r/>
            <w:r>
              <w:rPr>
                <w:b/>
                <w:i w:val="0"/>
              </w:rPr>
              <w:t>約36倍</w:t>
            </w:r>
            <w:r>
              <w:rPr>
                <w:b w:val="0"/>
                <w:i w:val="0"/>
              </w:rPr>
              <w:t>（BPS36.38円）</w:t>
            </w:r>
          </w:p>
        </w:tc>
        <w:tc>
          <w:tcPr>
            <w:tcW w:type="dxa" w:w="2880"/>
          </w:tcPr>
          <w:p>
            <w:r/>
            <w:r>
              <w:rPr>
                <w:b w:val="0"/>
                <w:i w:val="0"/>
              </w:rPr>
              <w:t>2.96倍</w:t>
            </w:r>
          </w:p>
        </w:tc>
      </w:tr>
      <w:tr>
        <w:tc>
          <w:tcPr>
            <w:tcW w:type="dxa" w:w="2880"/>
          </w:tcPr>
          <w:p>
            <w:r/>
            <w:r>
              <w:rPr>
                <w:b w:val="0"/>
                <w:i w:val="0"/>
              </w:rPr>
              <w:t>予想PER</w:t>
            </w:r>
          </w:p>
        </w:tc>
        <w:tc>
          <w:tcPr>
            <w:tcW w:type="dxa" w:w="2880"/>
          </w:tcPr>
          <w:p>
            <w:r/>
            <w:r>
              <w:rPr>
                <w:b w:val="0"/>
                <w:i w:val="0"/>
              </w:rPr>
              <w:t>n.m.（FY26E純利益3百万円→約590倍）</w:t>
            </w:r>
          </w:p>
        </w:tc>
        <w:tc>
          <w:tcPr>
            <w:tcW w:type="dxa" w:w="2880"/>
          </w:tcPr>
          <w:p>
            <w:r/>
            <w:r>
              <w:rPr>
                <w:b w:val="0"/>
                <w:i w:val="0"/>
              </w:rPr>
              <w:t>16.2倍</w:t>
            </w:r>
          </w:p>
        </w:tc>
      </w:tr>
      <w:tr>
        <w:tc>
          <w:tcPr>
            <w:tcW w:type="dxa" w:w="2880"/>
          </w:tcPr>
          <w:p>
            <w:r/>
            <w:r>
              <w:rPr>
                <w:b w:val="0"/>
                <w:i w:val="0"/>
              </w:rPr>
              <w:t>予想ROE</w:t>
            </w:r>
          </w:p>
        </w:tc>
        <w:tc>
          <w:tcPr>
            <w:tcW w:type="dxa" w:w="2880"/>
          </w:tcPr>
          <w:p>
            <w:r/>
            <w:r>
              <w:rPr>
                <w:b w:val="0"/>
                <w:i w:val="0"/>
              </w:rPr>
              <w:t>n.m.（FY25 △25.6%）</w:t>
            </w:r>
          </w:p>
        </w:tc>
        <w:tc>
          <w:tcPr>
            <w:tcW w:type="dxa" w:w="2880"/>
          </w:tcPr>
          <w:p>
            <w:r/>
            <w:r>
              <w:rPr>
                <w:b w:val="0"/>
                <w:i w:val="0"/>
              </w:rPr>
              <w:t>18.2倍</w:t>
            </w:r>
          </w:p>
        </w:tc>
      </w:tr>
      <w:tr>
        <w:tc>
          <w:tcPr>
            <w:tcW w:type="dxa" w:w="2880"/>
          </w:tcPr>
          <w:p>
            <w:r/>
            <w:r>
              <w:rPr>
                <w:b w:val="0"/>
                <w:i w:val="0"/>
              </w:rPr>
              <w:t>配当</w:t>
            </w:r>
          </w:p>
        </w:tc>
        <w:tc>
          <w:tcPr>
            <w:tcW w:type="dxa" w:w="2880"/>
          </w:tcPr>
          <w:p>
            <w:r/>
            <w:r>
              <w:rPr>
                <w:b w:val="0"/>
                <w:i w:val="0"/>
              </w:rPr>
              <w:t>無配</w:t>
            </w:r>
          </w:p>
        </w:tc>
        <w:tc>
          <w:tcPr>
            <w:tcW w:type="dxa" w:w="2880"/>
          </w:tcPr>
          <w:p>
            <w:r/>
            <w:r>
              <w:rPr>
                <w:b w:val="0"/>
                <w:i w:val="0"/>
              </w:rPr>
              <w:t>利回り約0.95%</w:t>
            </w:r>
          </w:p>
        </w:tc>
      </w:tr>
    </w:tbl>
    <w:p/>
    <w:p>
      <w:pPr>
        <w:pStyle w:val="Heading2"/>
      </w:pPr>
      <w:r>
        <w:rPr>
          <w:b w:val="0"/>
          <w:i w:val="0"/>
        </w:rPr>
        <w:t>8.2 解釈：表面マルチプルは「割高」だが実態は名目値</w:t>
      </w:r>
    </w:p>
    <w:p>
      <w:pPr>
        <w:pStyle w:val="ListBullet"/>
      </w:pPr>
      <w:r>
        <w:rPr>
          <w:b w:val="0"/>
          <w:i w:val="0"/>
        </w:rPr>
        <w:t>表面上、manabyはPSR約2.0倍・PBR約36倍・想定PER約590倍と、</w:t>
      </w:r>
      <w:r>
        <w:rPr>
          <w:b/>
          <w:i w:val="0"/>
        </w:rPr>
        <w:t>最大手で黒字・高ROEのLITALICO（PSR約1.2倍・PBR約3倍・PER約16倍）を大きく上回るマルチプル</w:t>
      </w:r>
      <w:r>
        <w:rPr>
          <w:b w:val="0"/>
          <w:i w:val="0"/>
        </w:rPr>
        <w:t>で評価されているように見える。</w:t>
      </w:r>
    </w:p>
    <w:p>
      <w:pPr>
        <w:pStyle w:val="ListBullet"/>
      </w:pPr>
      <w:r>
        <w:rPr>
          <w:b w:val="0"/>
          <w:i w:val="0"/>
        </w:rPr>
        <w:t>しかしこれは</w:t>
      </w:r>
      <w:r>
        <w:rPr>
          <w:b/>
          <w:i w:val="0"/>
        </w:rPr>
        <w:t>実態を反映した値ではない</w:t>
      </w:r>
      <w:r>
        <w:rPr>
          <w:b w:val="0"/>
          <w:i w:val="0"/>
        </w:rPr>
        <w:t>。理由は、(1) TPMは出来高が極端に薄く、参照株価が上場時の気配評価額（1,300円）水準に張り付いており</w:t>
      </w:r>
      <w:r>
        <w:rPr>
          <w:b/>
          <w:i w:val="0"/>
        </w:rPr>
        <w:t>市場で「クリア」された価格ではない</w:t>
      </w:r>
      <w:r>
        <w:rPr>
          <w:b w:val="0"/>
          <w:i w:val="0"/>
        </w:rPr>
        <w:t>、(2) 純資産がわずか57百万円・純利益3百万円（FY26E）と極小のため、PBR・PERが機械的に跳ね上がる、ため。</w:t>
      </w:r>
    </w:p>
    <w:p>
      <w:pPr>
        <w:pStyle w:val="ListBullet"/>
      </w:pPr>
      <w:r>
        <w:rPr>
          <w:b w:val="0"/>
          <w:i w:val="0"/>
        </w:rPr>
        <w:t>したがって、</w:t>
      </w:r>
      <w:r>
        <w:rPr>
          <w:b/>
          <w:i w:val="0"/>
        </w:rPr>
        <w:t>一般市場並みの流動性・浮動株を前提に置き直せば、現状の名目マルチプルには相応の流動性・規模ディスカウントがかかる</w:t>
      </w:r>
      <w:r>
        <w:rPr>
          <w:b w:val="0"/>
          <w:i w:val="0"/>
        </w:rPr>
        <w:t>と見るのが妥当。逆に言えば、黒字定着＋ストック収益化＋市場変更が実現すれば、LITALICO型マルチプルへの</w:t>
      </w:r>
      <w:r>
        <w:rPr>
          <w:b/>
          <w:i w:val="0"/>
        </w:rPr>
        <w:t>収斂（リレーティング）余地</w:t>
      </w:r>
      <w:r>
        <w:rPr>
          <w:b w:val="0"/>
          <w:i w:val="0"/>
        </w:rPr>
        <w:t>がアップサイド。</w:t>
      </w:r>
    </w:p>
    <w:p>
      <w:pPr>
        <w:pStyle w:val="Heading2"/>
      </w:pPr>
      <w:r>
        <w:rPr>
          <w:b w:val="0"/>
          <w:i w:val="0"/>
        </w:rPr>
        <w:t>8.3 推奨される評価アプローチ</w:t>
      </w:r>
    </w:p>
    <w:p>
      <w:pPr>
        <w:pStyle w:val="ListNumber"/>
      </w:pPr>
      <w:r>
        <w:rPr>
          <w:b/>
          <w:i w:val="0"/>
        </w:rPr>
        <w:t>DCF（本命）：</w:t>
      </w:r>
      <w:r>
        <w:rPr>
          <w:b w:val="0"/>
          <w:i w:val="0"/>
        </w:rPr>
        <w:t xml:space="preserve"> 出店計画・1拠点あたり稼働率カーブ・拠点別損益（開設→黒字化まで1〜2年）を積み上げる事業計画ベースが最も実態に近い。福祉報酬の公定単価・3年ごとの改定を感応度分析に織り込む。</w:t>
      </w:r>
    </w:p>
    <w:p>
      <w:pPr>
        <w:pStyle w:val="ListNumber"/>
      </w:pPr>
      <w:r>
        <w:rPr>
          <w:b/>
          <w:i w:val="0"/>
        </w:rPr>
        <w:t>EV/Sales（補完）：</w:t>
      </w:r>
      <w:r>
        <w:rPr>
          <w:b w:val="0"/>
          <w:i w:val="0"/>
        </w:rPr>
        <w:t xml:space="preserve"> 赤字・薄利のため利益マルチプルは機能しにくく、成長企業として売上倍率での評価が現実的。LITALICOのPSR約1.2倍を基準に、サイズ・流動性ディスカウントとストック収益比率プレミアムを調整。</w:t>
      </w:r>
    </w:p>
    <w:p>
      <w:pPr>
        <w:pStyle w:val="ListNumber"/>
      </w:pPr>
      <w:r>
        <w:rPr>
          <w:b/>
          <w:i w:val="0"/>
        </w:rPr>
        <w:t>SOTP的視点：</w:t>
      </w:r>
      <w:r>
        <w:rPr>
          <w:b w:val="0"/>
          <w:i w:val="0"/>
        </w:rPr>
        <w:t xml:space="preserve"> 制度依存の就労支援事業（公定価格・利益率上限）と、マナe（SaaS）・WORKS（サブスク）等の非制度ストック事業を分けて評価すると、後者の成長が価値ドライバーとして可視化される。</w:t>
      </w:r>
    </w:p>
    <w:p>
      <w:pPr>
        <w:spacing w:before="80" w:after="80"/>
        <w:ind w:left="432"/>
        <w:shd w:val="clear" w:color="auto" w:fill="F2F2F2"/>
      </w:pPr>
      <w:r>
        <w:rPr>
          <w:b/>
          <w:i/>
        </w:rPr>
        <w:t>投資銀行コメント：</w:t>
      </w:r>
      <w:r>
        <w:rPr>
          <w:b w:val="0"/>
          <w:i/>
        </w:rPr>
        <w:t xml:space="preserve"> manabyのバリュエーションは「現在の名目株価」ではなく「黒字定着後の正常収益力（normalized earnings）× 一般市場流動性」を起点に考えるべき。エクイティストーリーの肝は、</w:t>
      </w:r>
      <w:r>
        <w:rPr>
          <w:b/>
          <w:i/>
        </w:rPr>
        <w:t>福祉報酬に依存する低マルチプル事業から、SaaS／サブスク比率の上昇で高マルチプル事業へとミックスをシフトできるか</w:t>
      </w:r>
      <w:r>
        <w:rPr>
          <w:b w:val="0"/>
          <w:i/>
        </w:rPr>
        <w:t>にある。</w:t>
      </w:r>
    </w:p>
    <w:p>
      <w:pPr>
        <w:pStyle w:val="Heading1"/>
      </w:pPr>
      <w:r>
        <w:rPr>
          <w:b w:val="0"/>
          <w:i w:val="0"/>
        </w:rPr>
        <w:t>9. リスク分析</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D9E2F3"/>
          </w:tcPr>
          <w:p>
            <w:r>
              <w:rPr>
                <w:b/>
              </w:rPr>
            </w:r>
            <w:r>
              <w:rPr>
                <w:b/>
                <w:i w:val="0"/>
              </w:rPr>
              <w:t>リスク</w:t>
            </w:r>
          </w:p>
        </w:tc>
        <w:tc>
          <w:tcPr>
            <w:tcW w:type="dxa" w:w="2880"/>
            <w:shd w:val="clear" w:color="auto" w:fill="D9E2F3"/>
          </w:tcPr>
          <w:p>
            <w:r>
              <w:rPr>
                <w:b/>
              </w:rPr>
            </w:r>
            <w:r>
              <w:rPr>
                <w:b/>
                <w:i w:val="0"/>
              </w:rPr>
              <w:t>区分</w:t>
            </w:r>
          </w:p>
        </w:tc>
        <w:tc>
          <w:tcPr>
            <w:tcW w:type="dxa" w:w="2880"/>
            <w:shd w:val="clear" w:color="auto" w:fill="D9E2F3"/>
          </w:tcPr>
          <w:p>
            <w:r>
              <w:rPr>
                <w:b/>
              </w:rPr>
            </w:r>
            <w:r>
              <w:rPr>
                <w:b/>
                <w:i w:val="0"/>
              </w:rPr>
              <w:t>内容</w:t>
            </w:r>
          </w:p>
        </w:tc>
      </w:tr>
      <w:tr>
        <w:tc>
          <w:tcPr>
            <w:tcW w:type="dxa" w:w="2880"/>
          </w:tcPr>
          <w:p>
            <w:r/>
            <w:r>
              <w:rPr>
                <w:b/>
                <w:i w:val="0"/>
              </w:rPr>
              <w:t>制度・報酬改定リスク</w:t>
            </w:r>
          </w:p>
        </w:tc>
        <w:tc>
          <w:tcPr>
            <w:tcW w:type="dxa" w:w="2880"/>
          </w:tcPr>
          <w:p>
            <w:r/>
            <w:r>
              <w:rPr>
                <w:b w:val="0"/>
                <w:i w:val="0"/>
              </w:rPr>
              <w:t>高</w:t>
            </w:r>
          </w:p>
        </w:tc>
        <w:tc>
          <w:tcPr>
            <w:tcW w:type="dxa" w:w="2880"/>
          </w:tcPr>
          <w:p>
            <w:r/>
            <w:r>
              <w:rPr>
                <w:b w:val="0"/>
                <w:i w:val="0"/>
              </w:rPr>
              <w:t>売上の大半が障害福祉サービスの公定報酬（訓練等給付費）に依存。</w:t>
            </w:r>
            <w:r>
              <w:rPr>
                <w:b/>
                <w:i w:val="0"/>
              </w:rPr>
              <w:t>報酬改定（3年ごと）で単価・加算要件が変われば収益が直撃</w:t>
            </w:r>
            <w:r>
              <w:rPr>
                <w:b w:val="0"/>
                <w:i w:val="0"/>
              </w:rPr>
              <w:t>を受ける。</w:t>
            </w:r>
          </w:p>
        </w:tc>
      </w:tr>
      <w:tr>
        <w:tc>
          <w:tcPr>
            <w:tcW w:type="dxa" w:w="2880"/>
          </w:tcPr>
          <w:p>
            <w:r/>
            <w:r>
              <w:rPr>
                <w:b/>
                <w:i w:val="0"/>
              </w:rPr>
              <w:t>利益のボラティリティ</w:t>
            </w:r>
          </w:p>
        </w:tc>
        <w:tc>
          <w:tcPr>
            <w:tcW w:type="dxa" w:w="2880"/>
          </w:tcPr>
          <w:p>
            <w:r/>
            <w:r>
              <w:rPr>
                <w:b w:val="0"/>
                <w:i w:val="0"/>
              </w:rPr>
              <w:t>高</w:t>
            </w:r>
          </w:p>
        </w:tc>
        <w:tc>
          <w:tcPr>
            <w:tcW w:type="dxa" w:w="2880"/>
          </w:tcPr>
          <w:p>
            <w:r/>
            <w:r>
              <w:rPr>
                <w:b w:val="0"/>
                <w:i w:val="0"/>
              </w:rPr>
              <w:t>出店ペース次第で黒字・赤字を行き来。FY2026計画の純利益は+3百万円と薄く、</w:t>
            </w:r>
            <w:r>
              <w:rPr>
                <w:b/>
                <w:i w:val="0"/>
              </w:rPr>
              <w:t>未達・赤字転落リスク</w:t>
            </w:r>
            <w:r>
              <w:rPr>
                <w:b w:val="0"/>
                <w:i w:val="0"/>
              </w:rPr>
              <w:t>が構造的に高い。</w:t>
            </w:r>
          </w:p>
        </w:tc>
      </w:tr>
      <w:tr>
        <w:tc>
          <w:tcPr>
            <w:tcW w:type="dxa" w:w="2880"/>
          </w:tcPr>
          <w:p>
            <w:r/>
            <w:r>
              <w:rPr>
                <w:b/>
                <w:i w:val="0"/>
              </w:rPr>
              <w:t>財務基盤の脆弱性</w:t>
            </w:r>
          </w:p>
        </w:tc>
        <w:tc>
          <w:tcPr>
            <w:tcW w:type="dxa" w:w="2880"/>
          </w:tcPr>
          <w:p>
            <w:r/>
            <w:r>
              <w:rPr>
                <w:b w:val="0"/>
                <w:i w:val="0"/>
              </w:rPr>
              <w:t>高</w:t>
            </w:r>
          </w:p>
        </w:tc>
        <w:tc>
          <w:tcPr>
            <w:tcW w:type="dxa" w:w="2880"/>
          </w:tcPr>
          <w:p>
            <w:r/>
            <w:r>
              <w:rPr>
                <w:b w:val="0"/>
                <w:i w:val="0"/>
              </w:rPr>
              <w:t>自己資本57百万円・自己資本比率7.2%と極小、有利子負債約6.0億円・3期連続マイナスFCF。</w:t>
            </w:r>
            <w:r>
              <w:rPr>
                <w:b/>
                <w:i w:val="0"/>
              </w:rPr>
              <w:t>薄い資本で借入主導の成長</w:t>
            </w:r>
            <w:r>
              <w:rPr>
                <w:b w:val="0"/>
                <w:i w:val="0"/>
              </w:rPr>
              <w:t>を続けており、資金繰り・調達制約が成長の律速になり得る。</w:t>
            </w:r>
          </w:p>
        </w:tc>
      </w:tr>
      <w:tr>
        <w:tc>
          <w:tcPr>
            <w:tcW w:type="dxa" w:w="2880"/>
          </w:tcPr>
          <w:p>
            <w:r/>
            <w:r>
              <w:rPr>
                <w:b/>
                <w:i w:val="0"/>
              </w:rPr>
              <w:t>繰延税金資産の取崩</w:t>
            </w:r>
          </w:p>
        </w:tc>
        <w:tc>
          <w:tcPr>
            <w:tcW w:type="dxa" w:w="2880"/>
          </w:tcPr>
          <w:p>
            <w:r/>
            <w:r>
              <w:rPr>
                <w:b w:val="0"/>
                <w:i w:val="0"/>
              </w:rPr>
              <w:t>高</w:t>
            </w:r>
          </w:p>
        </w:tc>
        <w:tc>
          <w:tcPr>
            <w:tcW w:type="dxa" w:w="2880"/>
          </w:tcPr>
          <w:p>
            <w:r/>
            <w:r>
              <w:rPr>
                <w:b w:val="0"/>
                <w:i w:val="0"/>
              </w:rPr>
              <w:t>DTA63百万円が純資産57百万円を上回る。</w:t>
            </w:r>
            <w:r>
              <w:rPr>
                <w:b/>
                <w:i w:val="0"/>
              </w:rPr>
              <w:t>将来の黒字化前提が崩れDTAを取り崩せば純資産が直接毀損し、債務超過に接近</w:t>
            </w:r>
            <w:r>
              <w:rPr>
                <w:b w:val="0"/>
                <w:i w:val="0"/>
              </w:rPr>
              <w:t>するリスク。</w:t>
            </w:r>
          </w:p>
        </w:tc>
      </w:tr>
      <w:tr>
        <w:tc>
          <w:tcPr>
            <w:tcW w:type="dxa" w:w="2880"/>
          </w:tcPr>
          <w:p>
            <w:r/>
            <w:r>
              <w:rPr>
                <w:b/>
                <w:i w:val="0"/>
              </w:rPr>
              <w:t>借入・金利・リファイナンス</w:t>
            </w:r>
          </w:p>
        </w:tc>
        <w:tc>
          <w:tcPr>
            <w:tcW w:type="dxa" w:w="2880"/>
          </w:tcPr>
          <w:p>
            <w:r/>
            <w:r>
              <w:rPr>
                <w:b w:val="0"/>
                <w:i w:val="0"/>
              </w:rPr>
              <w:t>中〜高</w:t>
            </w:r>
          </w:p>
        </w:tc>
        <w:tc>
          <w:tcPr>
            <w:tcW w:type="dxa" w:w="2880"/>
          </w:tcPr>
          <w:p>
            <w:r/>
            <w:r>
              <w:rPr>
                <w:b w:val="0"/>
                <w:i w:val="0"/>
              </w:rPr>
              <w:t>約6億円の借入に依存。</w:t>
            </w:r>
            <w:r>
              <w:rPr>
                <w:b/>
                <w:i w:val="0"/>
              </w:rPr>
              <w:t>金利上昇・借換え（リファイナンス）条件悪化・財務制限条項（コベナンツ）</w:t>
            </w:r>
            <w:r>
              <w:rPr>
                <w:b w:val="0"/>
                <w:i w:val="0"/>
              </w:rPr>
              <w:t>が資金繰りと出店余力を制約し得る。</w:t>
            </w:r>
          </w:p>
        </w:tc>
      </w:tr>
      <w:tr>
        <w:tc>
          <w:tcPr>
            <w:tcW w:type="dxa" w:w="2880"/>
          </w:tcPr>
          <w:p>
            <w:r/>
            <w:r>
              <w:rPr>
                <w:b/>
                <w:i w:val="0"/>
              </w:rPr>
              <w:t>人材依存・採用</w:t>
            </w:r>
          </w:p>
        </w:tc>
        <w:tc>
          <w:tcPr>
            <w:tcW w:type="dxa" w:w="2880"/>
          </w:tcPr>
          <w:p>
            <w:r/>
            <w:r>
              <w:rPr>
                <w:b w:val="0"/>
                <w:i w:val="0"/>
              </w:rPr>
              <w:t>中〜高</w:t>
            </w:r>
          </w:p>
        </w:tc>
        <w:tc>
          <w:tcPr>
            <w:tcW w:type="dxa" w:w="2880"/>
          </w:tcPr>
          <w:p>
            <w:r/>
            <w:r>
              <w:rPr>
                <w:b w:val="0"/>
                <w:i w:val="0"/>
              </w:rPr>
              <w:t>支援員（サービス管理責任者等）の確保が出店の前提。</w:t>
            </w:r>
            <w:r>
              <w:rPr>
                <w:b/>
                <w:i w:val="0"/>
              </w:rPr>
              <w:t>福祉人材の採用難・離職</w:t>
            </w:r>
            <w:r>
              <w:rPr>
                <w:b w:val="0"/>
                <w:i w:val="0"/>
              </w:rPr>
              <w:t>が拡大の足かせ。</w:t>
            </w:r>
          </w:p>
        </w:tc>
      </w:tr>
      <w:tr>
        <w:tc>
          <w:tcPr>
            <w:tcW w:type="dxa" w:w="2880"/>
          </w:tcPr>
          <w:p>
            <w:r/>
            <w:r>
              <w:rPr>
                <w:b/>
                <w:i w:val="0"/>
              </w:rPr>
              <w:t>CSP（FC）品質管理</w:t>
            </w:r>
          </w:p>
        </w:tc>
        <w:tc>
          <w:tcPr>
            <w:tcW w:type="dxa" w:w="2880"/>
          </w:tcPr>
          <w:p>
            <w:r/>
            <w:r>
              <w:rPr>
                <w:b w:val="0"/>
                <w:i w:val="0"/>
              </w:rPr>
              <w:t>中</w:t>
            </w:r>
          </w:p>
        </w:tc>
        <w:tc>
          <w:tcPr>
            <w:tcW w:type="dxa" w:w="2880"/>
          </w:tcPr>
          <w:p>
            <w:r/>
            <w:r>
              <w:rPr>
                <w:b w:val="0"/>
                <w:i w:val="0"/>
              </w:rPr>
              <w:t>フランチャイズ拡大は品質・コンプライアンスのばらつきリスク。福祉は</w:t>
            </w:r>
            <w:r>
              <w:rPr>
                <w:b/>
                <w:i w:val="0"/>
              </w:rPr>
              <w:t>行政処分（指定取消・報酬返還）リスク</w:t>
            </w:r>
            <w:r>
              <w:rPr>
                <w:b w:val="0"/>
                <w:i w:val="0"/>
              </w:rPr>
              <w:t>が事業継続に直結。</w:t>
            </w:r>
          </w:p>
        </w:tc>
      </w:tr>
      <w:tr>
        <w:tc>
          <w:tcPr>
            <w:tcW w:type="dxa" w:w="2880"/>
          </w:tcPr>
          <w:p>
            <w:r/>
            <w:r>
              <w:rPr>
                <w:b/>
                <w:i w:val="0"/>
              </w:rPr>
              <w:t>流動性・資本市場リスク</w:t>
            </w:r>
          </w:p>
        </w:tc>
        <w:tc>
          <w:tcPr>
            <w:tcW w:type="dxa" w:w="2880"/>
          </w:tcPr>
          <w:p>
            <w:r/>
            <w:r>
              <w:rPr>
                <w:b w:val="0"/>
                <w:i w:val="0"/>
              </w:rPr>
              <w:t>中</w:t>
            </w:r>
          </w:p>
        </w:tc>
        <w:tc>
          <w:tcPr>
            <w:tcW w:type="dxa" w:w="2880"/>
          </w:tcPr>
          <w:p>
            <w:r/>
            <w:r>
              <w:rPr>
                <w:b w:val="0"/>
                <w:i w:val="0"/>
              </w:rPr>
              <w:t>TPMの低流動性により、機動的な資金調達や株主基盤拡大が困難。</w:t>
            </w:r>
          </w:p>
        </w:tc>
      </w:tr>
      <w:tr>
        <w:tc>
          <w:tcPr>
            <w:tcW w:type="dxa" w:w="2880"/>
          </w:tcPr>
          <w:p>
            <w:r/>
            <w:r>
              <w:rPr>
                <w:b/>
                <w:i w:val="0"/>
              </w:rPr>
              <w:t>ガバナンス（オーナー集中）</w:t>
            </w:r>
          </w:p>
        </w:tc>
        <w:tc>
          <w:tcPr>
            <w:tcW w:type="dxa" w:w="2880"/>
          </w:tcPr>
          <w:p>
            <w:r/>
            <w:r>
              <w:rPr>
                <w:b w:val="0"/>
                <w:i w:val="0"/>
              </w:rPr>
              <w:t>中</w:t>
            </w:r>
          </w:p>
        </w:tc>
        <w:tc>
          <w:tcPr>
            <w:tcW w:type="dxa" w:w="2880"/>
          </w:tcPr>
          <w:p>
            <w:r/>
            <w:r>
              <w:rPr>
                <w:b w:val="0"/>
                <w:i w:val="0"/>
              </w:rPr>
              <w:t>創業者支配。少数株主保護・牽制機能・後継体制が論点。</w:t>
            </w:r>
          </w:p>
        </w:tc>
      </w:tr>
      <w:tr>
        <w:tc>
          <w:tcPr>
            <w:tcW w:type="dxa" w:w="2880"/>
          </w:tcPr>
          <w:p>
            <w:r/>
            <w:r>
              <w:rPr>
                <w:b/>
                <w:i w:val="0"/>
              </w:rPr>
              <w:t>競争激化</w:t>
            </w:r>
          </w:p>
        </w:tc>
        <w:tc>
          <w:tcPr>
            <w:tcW w:type="dxa" w:w="2880"/>
          </w:tcPr>
          <w:p>
            <w:r/>
            <w:r>
              <w:rPr>
                <w:b w:val="0"/>
                <w:i w:val="0"/>
              </w:rPr>
              <w:t>中</w:t>
            </w:r>
          </w:p>
        </w:tc>
        <w:tc>
          <w:tcPr>
            <w:tcW w:type="dxa" w:w="2880"/>
          </w:tcPr>
          <w:p>
            <w:r/>
            <w:r>
              <w:rPr>
                <w:b w:val="0"/>
                <w:i w:val="0"/>
              </w:rPr>
              <w:t>LITALICO・ウェルビー等大手の地方展開や、新規参入による単価・利用者の獲得競争。</w:t>
            </w:r>
          </w:p>
        </w:tc>
      </w:tr>
    </w:tbl>
    <w:p/>
    <w:p>
      <w:pPr>
        <w:pStyle w:val="Heading1"/>
      </w:pPr>
      <w:r>
        <w:rPr>
          <w:b w:val="0"/>
          <w:i w:val="0"/>
        </w:rPr>
        <w:t>10. 投資銀行視点での総括</w:t>
      </w:r>
    </w:p>
    <w:p>
      <w:r>
        <w:rPr>
          <w:b/>
          <w:i w:val="0"/>
        </w:rPr>
        <w:t>株式会社manabyは、「社会課題解決（障害者就労）× 独自IT資産（マナe・在宅就労）× 構造的市場成長（法定雇用率上昇）」という、エクイティストーリーとして極めて訴求力の高い要素を備えた企業</w:t>
      </w:r>
      <w:r>
        <w:rPr>
          <w:b w:val="0"/>
          <w:i w:val="0"/>
        </w:rPr>
        <w:t>である。定着率85.7%・在宅就労21.4%という支援実績は、単なる福祉事業者ではなく「就職実績で稼ぐ成果連動モデル」としての質の高さを示している。</w:t>
      </w:r>
    </w:p>
    <w:p>
      <w:r>
        <w:rPr>
          <w:b w:val="0"/>
          <w:i w:val="0"/>
        </w:rPr>
        <w:t>一方で、投資銀行としてカバーする際の核心的論点は明快である：</w:t>
      </w:r>
    </w:p>
    <w:p>
      <w:pPr>
        <w:pStyle w:val="ListNumber"/>
      </w:pPr>
      <w:r>
        <w:rPr>
          <w:b/>
          <w:i w:val="0"/>
        </w:rPr>
        <w:t>収益の安定化（最優先）</w:t>
      </w:r>
      <w:r>
        <w:rPr>
          <w:b w:val="0"/>
          <w:i w:val="0"/>
        </w:rPr>
        <w:t xml:space="preserve"> — 過去5期（FY2022〜FY2025）で純黒字はFY2024の1期のみ。出店・M&amp;A投資による利益のブレを抑え、FY2026計画の薄い黒字（+3百万円）を「継続的な黒字」に定着させられるかが最大の証明課題。鍵は既存拠点の稼働率向上と、マナe外販・WORKSサブスクといった</w:t>
      </w:r>
      <w:r>
        <w:rPr>
          <w:b/>
          <w:i w:val="0"/>
        </w:rPr>
        <w:t>高採算ストック収益の比率上昇</w:t>
      </w:r>
      <w:r>
        <w:rPr>
          <w:b w:val="0"/>
          <w:i w:val="0"/>
        </w:rPr>
        <w:t>。</w:t>
      </w:r>
    </w:p>
    <w:p>
      <w:pPr>
        <w:pStyle w:val="ListNumber"/>
      </w:pPr>
      <w:r>
        <w:rPr>
          <w:b/>
          <w:i w:val="0"/>
        </w:rPr>
        <w:t>成長資金の調達経路</w:t>
      </w:r>
      <w:r>
        <w:rPr>
          <w:b w:val="0"/>
          <w:i w:val="0"/>
        </w:rPr>
        <w:t xml:space="preserve"> — 小さい自己資本のままで出店を加速するには外部資本が要る。</w:t>
      </w:r>
      <w:r>
        <w:rPr>
          <w:b/>
          <w:i w:val="0"/>
        </w:rPr>
        <w:t>一般市場へのステップアップ、戦略的資本提携の深化、あるいはM&amp;A</w:t>
      </w:r>
      <w:r>
        <w:rPr>
          <w:b w:val="0"/>
          <w:i w:val="0"/>
        </w:rPr>
        <w:t>のいずれを選ぶかが、企業価値の次の段階を決める。</w:t>
      </w:r>
    </w:p>
    <w:p>
      <w:pPr>
        <w:pStyle w:val="ListNumber"/>
      </w:pPr>
      <w:r>
        <w:rPr>
          <w:b/>
          <w:i w:val="0"/>
        </w:rPr>
        <w:t>資本市場での顕在化</w:t>
      </w:r>
      <w:r>
        <w:rPr>
          <w:b w:val="0"/>
          <w:i w:val="0"/>
        </w:rPr>
        <w:t xml:space="preserve"> — TPMの低流動性のままでは企業価値が市場で正当に評価されない。</w:t>
      </w:r>
      <w:r>
        <w:rPr>
          <w:b/>
          <w:i w:val="0"/>
        </w:rPr>
        <w:t>「福祉×SaaS／在宅就労プラットフォーム」としての再定義</w:t>
      </w:r>
      <w:r>
        <w:rPr>
          <w:b w:val="0"/>
          <w:i w:val="0"/>
        </w:rPr>
        <w:t>ができれば、リレーティングの余地は大きい。</w:t>
      </w:r>
    </w:p>
    <w:p>
      <w:r>
        <w:rPr>
          <w:b/>
          <w:i w:val="0"/>
        </w:rPr>
        <w:t>結論として、manabyは「ストーリーは一級・収益性と資本基盤は発展途上」という、典型的なアーリーステージ上場企業</w:t>
      </w:r>
      <w:r>
        <w:rPr>
          <w:b w:val="0"/>
          <w:i w:val="0"/>
        </w:rPr>
        <w:t>である。AHCグループとの提携は、その発展途上を補完する第一歩。次の価値創造の引き金は、(a) ストック収益による黒字の質的転換、(b) 成長資本の獲得、(c) 一般市場ステップアップ or 業界再編における主体的ポジショニング、の3点に集約される。投資銀行としては、</w:t>
      </w:r>
      <w:r>
        <w:rPr>
          <w:b/>
          <w:i w:val="0"/>
        </w:rPr>
        <w:t>エクイティ・ファイナンス（ステップアップIPO）と戦略的M&amp;A（buy/sell両面）の双方で関与余地が大きい先</w:t>
      </w:r>
      <w:r>
        <w:rPr>
          <w:b w:val="0"/>
          <w:i w:val="0"/>
        </w:rPr>
        <w:t>と評価する。</w:t>
      </w:r>
    </w:p>
    <w:p>
      <w:pPr>
        <w:pStyle w:val="Heading1"/>
      </w:pPr>
      <w:r>
        <w:rPr>
          <w:b w:val="0"/>
          <w:i w:val="0"/>
        </w:rPr>
        <w:t>11. 主要出典（Sources）</w:t>
      </w:r>
    </w:p>
    <w:p>
      <w:pPr>
        <w:pStyle w:val="ListBullet"/>
      </w:pPr>
      <w:hyperlink r:id="rId9">
        <w:r>
          <w:rPr>
            <w:rFonts w:ascii="Yu Gothic" w:hAnsi="Yu Gothic" w:eastAsia="Yu Gothic" w:cs="Yu Gothic"/>
            <w:color w:val="0563C1"/>
            <w:u w:val="single"/>
          </w:rPr>
          <w:t xml:space="preserve">株式会社ｍａｎａｂｙの企業情報 | J-LiC 上場企業サーチ</w:t>
        </w:r>
      </w:hyperlink>
    </w:p>
    <w:p>
      <w:pPr>
        <w:pStyle w:val="ListBullet"/>
      </w:pPr>
      <w:hyperlink r:id="rId10">
        <w:r>
          <w:rPr>
            <w:rFonts w:ascii="Yu Gothic" w:hAnsi="Yu Gothic" w:eastAsia="Yu Gothic" w:cs="Yu Gothic"/>
            <w:color w:val="0563C1"/>
            <w:u w:val="single"/>
          </w:rPr>
          <w:t xml:space="preserve">株式会社manabyの東京証券取引所 TOKYO PRO Market 上場に関するお知らせ（PR TIMES）</w:t>
        </w:r>
      </w:hyperlink>
    </w:p>
    <w:p>
      <w:pPr>
        <w:pStyle w:val="ListBullet"/>
      </w:pPr>
      <w:hyperlink r:id="rId11">
        <w:r>
          <w:rPr>
            <w:rFonts w:ascii="Yu Gothic" w:hAnsi="Yu Gothic" w:eastAsia="Yu Gothic" w:cs="Yu Gothic"/>
            <w:color w:val="0563C1"/>
            <w:u w:val="single"/>
          </w:rPr>
          <w:t xml:space="preserve">株式会社 manabyが、TOKYO PRO Market上場へ（日本M&amp;Aセンター）</w:t>
        </w:r>
      </w:hyperlink>
    </w:p>
    <w:p>
      <w:pPr>
        <w:pStyle w:val="ListBullet"/>
      </w:pPr>
      <w:hyperlink r:id="rId12">
        <w:r>
          <w:rPr>
            <w:rFonts w:ascii="Yu Gothic" w:hAnsi="Yu Gothic" w:eastAsia="Yu Gothic" w:cs="Yu Gothic"/>
            <w:color w:val="0563C1"/>
            <w:u w:val="single"/>
          </w:rPr>
          <w:t xml:space="preserve">マナビー、２１日に東京プロマーケット上場 仙台の就労支援会社（河北新報）</w:t>
        </w:r>
      </w:hyperlink>
    </w:p>
    <w:p>
      <w:pPr>
        <w:pStyle w:val="ListBullet"/>
      </w:pPr>
      <w:hyperlink r:id="rId13">
        <w:r>
          <w:rPr>
            <w:rFonts w:ascii="Yu Gothic" w:hAnsi="Yu Gothic" w:eastAsia="Yu Gothic" w:cs="Yu Gothic"/>
            <w:color w:val="0563C1"/>
            <w:u w:val="single"/>
          </w:rPr>
          <w:t xml:space="preserve">「仙台未来創造企業創出プログラム」認定企業が株式上場しました（仙台市）</w:t>
        </w:r>
      </w:hyperlink>
    </w:p>
    <w:p>
      <w:pPr>
        <w:pStyle w:val="ListBullet"/>
      </w:pPr>
      <w:hyperlink r:id="rId14">
        <w:r>
          <w:rPr>
            <w:rFonts w:ascii="Yu Gothic" w:hAnsi="Yu Gothic" w:eastAsia="Yu Gothic" w:cs="Yu Gothic"/>
            <w:color w:val="0563C1"/>
            <w:u w:val="single"/>
          </w:rPr>
          <w:t xml:space="preserve">企業情報 | 株式会社manaby</w:t>
        </w:r>
      </w:hyperlink>
    </w:p>
    <w:p>
      <w:pPr>
        <w:pStyle w:val="ListBullet"/>
      </w:pPr>
      <w:hyperlink r:id="rId15">
        <w:r>
          <w:rPr>
            <w:rFonts w:ascii="Yu Gothic" w:hAnsi="Yu Gothic" w:eastAsia="Yu Gothic" w:cs="Yu Gothic"/>
            <w:color w:val="0563C1"/>
            <w:u w:val="single"/>
          </w:rPr>
          <w:t xml:space="preserve">2025年3月期 決算短信〔日本基準〕（非連結）（JPX）</w:t>
        </w:r>
      </w:hyperlink>
    </w:p>
    <w:p>
      <w:pPr>
        <w:pStyle w:val="ListBullet"/>
      </w:pPr>
      <w:hyperlink r:id="rId16">
        <w:r>
          <w:rPr>
            <w:rFonts w:ascii="Yu Gothic" w:hAnsi="Yu Gothic" w:eastAsia="Yu Gothic" w:cs="Yu Gothic"/>
            <w:color w:val="0563C1"/>
            <w:u w:val="single"/>
          </w:rPr>
          <w:t xml:space="preserve">2024年3月期 決算短信〔日本基準〕（非連結）（JPX）</w:t>
        </w:r>
      </w:hyperlink>
    </w:p>
    <w:p>
      <w:pPr>
        <w:pStyle w:val="ListBullet"/>
      </w:pPr>
      <w:hyperlink r:id="rId17">
        <w:r>
          <w:rPr>
            <w:rFonts w:ascii="Yu Gothic" w:hAnsi="Yu Gothic" w:eastAsia="Yu Gothic" w:cs="Yu Gothic"/>
            <w:color w:val="0563C1"/>
            <w:u w:val="single"/>
          </w:rPr>
          <w:t xml:space="preserve">マナビーの2026年3月期、最終損益は300万円の黒字（日本経済新聞）</w:t>
        </w:r>
      </w:hyperlink>
    </w:p>
    <w:p>
      <w:pPr>
        <w:pStyle w:val="ListBullet"/>
      </w:pPr>
      <w:hyperlink r:id="rId18">
        <w:r>
          <w:rPr>
            <w:rFonts w:ascii="Yu Gothic" w:hAnsi="Yu Gothic" w:eastAsia="Yu Gothic" w:cs="Yu Gothic"/>
            <w:color w:val="0563C1"/>
            <w:u w:val="single"/>
          </w:rPr>
          <w:t xml:space="preserve">マナビーの決算記事（2024年5月公表・FY2024実績／FY2025予想）（日本経済新聞）</w:t>
        </w:r>
      </w:hyperlink>
    </w:p>
    <w:p>
      <w:pPr>
        <w:pStyle w:val="ListBullet"/>
      </w:pPr>
      <w:hyperlink r:id="rId19">
        <w:r>
          <w:rPr>
            <w:rFonts w:ascii="Yu Gothic" w:hAnsi="Yu Gothic" w:eastAsia="Yu Gothic" w:cs="Yu Gothic"/>
            <w:color w:val="0563C1"/>
            <w:u w:val="single"/>
          </w:rPr>
          <w:t xml:space="preserve">決算公告 第9期（株式会社manaby）</w:t>
        </w:r>
      </w:hyperlink>
    </w:p>
    <w:p>
      <w:pPr>
        <w:pStyle w:val="ListBullet"/>
      </w:pPr>
      <w:hyperlink r:id="rId20">
        <w:r>
          <w:rPr>
            <w:rFonts w:ascii="Yu Gothic" w:hAnsi="Yu Gothic" w:eastAsia="Yu Gothic" w:cs="Yu Gothic"/>
            <w:color w:val="0563C1"/>
            <w:u w:val="single"/>
          </w:rPr>
          <w:t xml:space="preserve">株式会社manaby、AHCグループ株式会社と資本業務提携（PR TIMES）</w:t>
        </w:r>
      </w:hyperlink>
    </w:p>
    <w:p>
      <w:pPr>
        <w:pStyle w:val="ListBullet"/>
      </w:pPr>
      <w:hyperlink r:id="rId21">
        <w:r>
          <w:rPr>
            <w:rFonts w:ascii="Yu Gothic" w:hAnsi="Yu Gothic" w:eastAsia="Yu Gothic" w:cs="Yu Gothic"/>
            <w:color w:val="0563C1"/>
            <w:u w:val="single"/>
          </w:rPr>
          <w:t xml:space="preserve">manaby、福祉・介護・外食事業などのAHCグループと資本業務提携（日本M&amp;Aセンター M&amp;Aニュース）</w:t>
        </w:r>
      </w:hyperlink>
    </w:p>
    <w:p>
      <w:pPr>
        <w:pStyle w:val="ListBullet"/>
      </w:pPr>
      <w:hyperlink r:id="rId22">
        <w:r>
          <w:rPr>
            <w:rFonts w:ascii="Yu Gothic" w:hAnsi="Yu Gothic" w:eastAsia="Yu Gothic" w:cs="Yu Gothic"/>
            <w:color w:val="0563C1"/>
            <w:u w:val="single"/>
          </w:rPr>
          <w:t xml:space="preserve">株式会社manaby（マナビー）新規上場承認（船井総研 IPOコンサルティング）</w:t>
        </w:r>
      </w:hyperlink>
    </w:p>
    <w:p>
      <w:pPr>
        <w:pStyle w:val="ListBullet"/>
      </w:pPr>
      <w:hyperlink r:id="rId23">
        <w:r>
          <w:rPr>
            <w:rFonts w:ascii="Yu Gothic" w:hAnsi="Yu Gothic" w:eastAsia="Yu Gothic" w:cs="Yu Gothic"/>
            <w:color w:val="0563C1"/>
            <w:u w:val="single"/>
          </w:rPr>
          <w:t xml:space="preserve">支援実績｜就労移行支援manaby</w:t>
        </w:r>
      </w:hyperlink>
    </w:p>
    <w:p>
      <w:pPr>
        <w:pStyle w:val="ListBullet"/>
      </w:pPr>
      <w:hyperlink r:id="rId24">
        <w:r>
          <w:rPr>
            <w:rFonts w:ascii="Yu Gothic" w:hAnsi="Yu Gothic" w:eastAsia="Yu Gothic" w:cs="Yu Gothic"/>
            <w:color w:val="0563C1"/>
            <w:u w:val="single"/>
          </w:rPr>
          <w:t xml:space="preserve">manaby（マナビー）の事業所一覧｜就労移行支援manaby</w:t>
        </w:r>
      </w:hyperlink>
    </w:p>
    <w:p>
      <w:pPr>
        <w:pStyle w:val="ListBullet"/>
      </w:pPr>
      <w:hyperlink r:id="rId25">
        <w:r>
          <w:rPr>
            <w:rFonts w:ascii="Yu Gothic" w:hAnsi="Yu Gothic" w:eastAsia="Yu Gothic" w:cs="Yu Gothic"/>
            <w:color w:val="0563C1"/>
            <w:u w:val="single"/>
          </w:rPr>
          <w:t xml:space="preserve">eラーニング「マナe」福祉事業所向け販売を開始（manaby）</w:t>
        </w:r>
      </w:hyperlink>
    </w:p>
    <w:p>
      <w:pPr>
        <w:pStyle w:val="ListBullet"/>
      </w:pPr>
      <w:hyperlink r:id="rId26">
        <w:r>
          <w:rPr>
            <w:rFonts w:ascii="Yu Gothic" w:hAnsi="Yu Gothic" w:eastAsia="Yu Gothic" w:cs="Yu Gothic"/>
            <w:color w:val="0563C1"/>
            <w:u w:val="single"/>
          </w:rPr>
          <w:t xml:space="preserve">障害者就労支援サービス市場2027年に980億円規模へ（JMAR）</w:t>
        </w:r>
      </w:hyperlink>
    </w:p>
    <w:p>
      <w:pPr>
        <w:pStyle w:val="ListBullet"/>
      </w:pPr>
      <w:hyperlink r:id="rId27">
        <w:r>
          <w:rPr>
            <w:rFonts w:ascii="Yu Gothic" w:hAnsi="Yu Gothic" w:eastAsia="Yu Gothic" w:cs="Yu Gothic"/>
            <w:color w:val="0563C1"/>
            <w:u w:val="single"/>
          </w:rPr>
          <w:t xml:space="preserve">障害者就労を支援 ウェルビー上場（日本経済新聞）</w:t>
        </w:r>
      </w:hyperlink>
    </w:p>
    <w:p>
      <w:pPr>
        <w:pStyle w:val="ListBullet"/>
      </w:pPr>
      <w:hyperlink r:id="rId28">
        <w:r>
          <w:rPr>
            <w:rFonts w:ascii="Yu Gothic" w:hAnsi="Yu Gothic" w:eastAsia="Yu Gothic" w:cs="Yu Gothic"/>
            <w:color w:val="0563C1"/>
            <w:u w:val="single"/>
          </w:rPr>
          <w:t xml:space="preserve">就労支援実績（就職者数・定着率）｜LITALICOワークス</w:t>
        </w:r>
      </w:hyperlink>
    </w:p>
    <w:p>
      <w:pPr>
        <w:pStyle w:val="ListBullet"/>
      </w:pPr>
      <w:hyperlink r:id="rId29">
        <w:r>
          <w:rPr>
            <w:rFonts w:ascii="Yu Gothic" w:hAnsi="Yu Gothic" w:eastAsia="Yu Gothic" w:cs="Yu Gothic"/>
            <w:color w:val="0563C1"/>
            <w:u w:val="single"/>
          </w:rPr>
          <w:t xml:space="preserve">民間企業の法定雇用率引き上げ資料（厚生労働省）</w:t>
        </w:r>
      </w:hyperlink>
    </w:p>
    <w:p>
      <w:pPr>
        <w:pStyle w:val="ListBullet"/>
      </w:pPr>
      <w:hyperlink r:id="rId30">
        <w:r>
          <w:rPr>
            <w:rFonts w:ascii="Yu Gothic" w:hAnsi="Yu Gothic" w:eastAsia="Yu Gothic" w:cs="Yu Gothic"/>
            <w:color w:val="0563C1"/>
            <w:u w:val="single"/>
          </w:rPr>
          <w:t xml:space="preserve">概要（TOKYO PRO Market）｜日本取引所グループ</w:t>
        </w:r>
      </w:hyperlink>
    </w:p>
    <w:p>
      <w:pPr>
        <w:pStyle w:val="ListBullet"/>
      </w:pPr>
      <w:hyperlink r:id="rId31">
        <w:r>
          <w:rPr>
            <w:rFonts w:ascii="Yu Gothic" w:hAnsi="Yu Gothic" w:eastAsia="Yu Gothic" w:cs="Yu Gothic"/>
            <w:color w:val="0563C1"/>
            <w:u w:val="single"/>
          </w:rPr>
          <w:t xml:space="preserve">J-Adviser制度｜概要（TOKYO PRO Market）｜日本取引所グループ</w:t>
        </w:r>
      </w:hyperlink>
    </w:p>
    <w:p>
      <w:pPr>
        <w:pStyle w:val="ListBullet"/>
      </w:pPr>
      <w:hyperlink r:id="rId32">
        <w:r>
          <w:rPr>
            <w:rFonts w:ascii="Yu Gothic" w:hAnsi="Yu Gothic" w:eastAsia="Yu Gothic" w:cs="Yu Gothic"/>
            <w:color w:val="0563C1"/>
            <w:u w:val="single"/>
          </w:rPr>
          <w:t xml:space="preserve">株式会社manaby・岡崎衛社長｜経営者タイムズ東北</w:t>
        </w:r>
      </w:hyperlink>
    </w:p>
    <w:p>
      <w:pPr>
        <w:pStyle w:val="ListBullet"/>
      </w:pPr>
      <w:hyperlink r:id="rId33">
        <w:r>
          <w:rPr>
            <w:rFonts w:ascii="Yu Gothic" w:hAnsi="Yu Gothic" w:eastAsia="Yu Gothic" w:cs="Yu Gothic"/>
            <w:color w:val="0563C1"/>
            <w:u w:val="single"/>
          </w:rPr>
          <w:t xml:space="preserve">manaby (9222) の株価・株式（QUICK Money World）</w:t>
        </w:r>
      </w:hyperlink>
    </w:p>
    <w:p>
      <w:pPr>
        <w:pStyle w:val="ListBullet"/>
      </w:pPr>
      <w:hyperlink r:id="rId34">
        <w:r>
          <w:rPr>
            <w:rFonts w:ascii="Yu Gothic" w:hAnsi="Yu Gothic" w:eastAsia="Yu Gothic" w:cs="Yu Gothic"/>
            <w:color w:val="0563C1"/>
            <w:u w:val="single"/>
          </w:rPr>
          <w:t xml:space="preserve">9222:Tokyo 株価 - manaby（Bloomberg Markets）</w:t>
        </w:r>
      </w:hyperlink>
    </w:p>
    <w:p>
      <w:pPr>
        <w:pStyle w:val="ListBullet"/>
      </w:pPr>
      <w:hyperlink r:id="rId35">
        <w:r>
          <w:rPr>
            <w:rFonts w:ascii="Yu Gothic" w:hAnsi="Yu Gothic" w:eastAsia="Yu Gothic" w:cs="Yu Gothic"/>
            <w:color w:val="0563C1"/>
            <w:u w:val="single"/>
          </w:rPr>
          <w:t xml:space="preserve">ＬＩＴＡＬＩＣＯ (7366)：株価/予想・目標株価（みんかぶ）</w:t>
        </w:r>
      </w:hyperlink>
    </w:p>
    <w:p>
      <w:pPr>
        <w:pStyle w:val="ListBullet"/>
      </w:pPr>
      <w:hyperlink r:id="rId36">
        <w:r>
          <w:rPr>
            <w:rFonts w:ascii="Yu Gothic" w:hAnsi="Yu Gothic" w:eastAsia="Yu Gothic" w:cs="Yu Gothic"/>
            <w:color w:val="0563C1"/>
            <w:u w:val="single"/>
          </w:rPr>
          <w:t xml:space="preserve">LITALICO(7366) 決算 - 業績推移（株探）</w:t>
        </w:r>
      </w:hyperlink>
    </w:p>
    <w:p>
      <w:pPr>
        <w:pStyle w:val="ListBullet"/>
      </w:pPr>
      <w:hyperlink r:id="rId37">
        <w:r>
          <w:rPr>
            <w:rFonts w:ascii="Yu Gothic" w:hAnsi="Yu Gothic" w:eastAsia="Yu Gothic" w:cs="Yu Gothic"/>
            <w:color w:val="0563C1"/>
            <w:u w:val="single"/>
          </w:rPr>
          <w:t xml:space="preserve">LITALICO 2025年3月期 決算説明資料</w:t>
        </w:r>
      </w:hyperlink>
      <w:r>
        <w:rPr>
          <w:b w:val="0"/>
          <w:i w:val="0"/>
        </w:rPr>
        <w:t>FY2024Q3EarningsPresentation.pdf)</w:t>
      </w:r>
    </w:p>
    <w:p>
      <w:r>
        <w:rPr>
          <w:b w:val="0"/>
          <w:i/>
        </w:rPr>
        <w:t>免責：本レポートは公開情報に基づく分析であり、投資勧誘を目的とするものではない。FY2024・FY2025の財務数値（P/L・B/S・C/F）は決算短信原本から取得した確定値、FY2026は会社業績予想、株価・時価総額・競合データは外部情報サービス（参照値）に基づ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Yu Gothic" w:hAnsi="Yu Gothic" w:eastAsia="Yu Gothic" w:cs="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Yu Gothic" w:hAnsi="Yu Gothic" w:eastAsia="Yu Gothic" w:cs="Yu Gothic"/>
      <w:b/>
      <w:bCs/>
      <w:color w:val="365F91" w:themeColor="accent1" w:themeShade="BF"/>
      <w:sz w:val="21"/>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Yu Gothic" w:hAnsi="Yu Gothic" w:eastAsia="Yu Gothic" w:cs="Yu Gothic"/>
      <w:b/>
      <w:bCs/>
      <w:color w:val="4F81BD" w:themeColor="accent1"/>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Yu Gothic" w:hAnsi="Yu Gothic" w:eastAsia="Yu Gothic" w:cs="Yu Gothic"/>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Yu Gothic" w:hAnsi="Yu Gothic" w:eastAsia="Yu Gothic" w:cs="Yu Gothic"/>
      <w:color w:val="17365D" w:themeColor="text2" w:themeShade="BF"/>
      <w:spacing w:val="5"/>
      <w:kern w:val="28"/>
      <w:sz w:val="21"/>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Yu Gothic" w:hAnsi="Yu Gothic" w:eastAsia="Yu Gothic" w:cs="Yu Gothic"/>
      <w:sz w:val="21"/>
    </w:rPr>
  </w:style>
  <w:style w:type="paragraph" w:styleId="ListBullet2">
    <w:name w:val="List Bullet 2"/>
    <w:basedOn w:val="Normal"/>
    <w:uiPriority w:val="99"/>
    <w:unhideWhenUsed/>
    <w:rsid w:val="00326F90"/>
    <w:pPr>
      <w:numPr>
        <w:numId w:val="2"/>
      </w:numPr>
      <w:contextualSpacing/>
    </w:pPr>
    <w:rPr>
      <w:rFonts w:ascii="Yu Gothic" w:hAnsi="Yu Gothic" w:eastAsia="Yu Gothic" w:cs="Yu Gothic"/>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Yu Gothic" w:hAnsi="Yu Gothic" w:eastAsia="Yu Gothic" w:cs="Yu Gothic"/>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j-lic.com/companies/9222" TargetMode="External"/><Relationship Id="rId10" Type="http://schemas.openxmlformats.org/officeDocument/2006/relationships/hyperlink" Target="https://prtimes.jp/main/html/rd/p/000000003.000096016.html" TargetMode="External"/><Relationship Id="rId11" Type="http://schemas.openxmlformats.org/officeDocument/2006/relationships/hyperlink" Target="https://www.nihon-ma.co.jp/tokyopromarket/news/5uv9kzybb" TargetMode="External"/><Relationship Id="rId12" Type="http://schemas.openxmlformats.org/officeDocument/2006/relationships/hyperlink" Target="https://kahoku.news/articles/20220404khn000033.html" TargetMode="External"/><Relationship Id="rId13" Type="http://schemas.openxmlformats.org/officeDocument/2006/relationships/hyperlink" Target="https://www.city.sendai.jp/kezai-chose/sendaimirai/ninteikigyou-ipo.html" TargetMode="External"/><Relationship Id="rId14" Type="http://schemas.openxmlformats.org/officeDocument/2006/relationships/hyperlink" Target="https://manaby.co.jp/about/company/" TargetMode="External"/><Relationship Id="rId15" Type="http://schemas.openxmlformats.org/officeDocument/2006/relationships/hyperlink" Target="https://www2.jpx.co.jp/disc/92220/140120250515553131.pdf" TargetMode="External"/><Relationship Id="rId16" Type="http://schemas.openxmlformats.org/officeDocument/2006/relationships/hyperlink" Target="https://www2.jpx.co.jp/disc/92220/140120240515597572.pdf" TargetMode="External"/><Relationship Id="rId17" Type="http://schemas.openxmlformats.org/officeDocument/2006/relationships/hyperlink" Target="https://www.nikkei.com/article/DGXZRST0553131V10C25A5000000/" TargetMode="External"/><Relationship Id="rId18" Type="http://schemas.openxmlformats.org/officeDocument/2006/relationships/hyperlink" Target="https://www.nikkei.com/article/DGXZRST0597572V10C24A5000000/" TargetMode="External"/><Relationship Id="rId19" Type="http://schemas.openxmlformats.org/officeDocument/2006/relationships/hyperlink" Target="https://manaby.co.jp/cms/wp-content/uploads/2025/06/6.pdf" TargetMode="External"/><Relationship Id="rId20" Type="http://schemas.openxmlformats.org/officeDocument/2006/relationships/hyperlink" Target="https://prtimes.jp/main/html/rd/p/000000035.000096016.html" TargetMode="External"/><Relationship Id="rId21" Type="http://schemas.openxmlformats.org/officeDocument/2006/relationships/hyperlink" Target="https://www.nihon-ma.co.jp/news/20240516_9222-3/" TargetMode="External"/><Relationship Id="rId22" Type="http://schemas.openxmlformats.org/officeDocument/2006/relationships/hyperlink" Target="https://ipo.funaisoken.co.jp/column/ipo/3559/" TargetMode="External"/><Relationship Id="rId23" Type="http://schemas.openxmlformats.org/officeDocument/2006/relationships/hyperlink" Target="https://works.manaby.co.jp/about/data/" TargetMode="External"/><Relationship Id="rId24" Type="http://schemas.openxmlformats.org/officeDocument/2006/relationships/hyperlink" Target="https://works.manaby.co.jp/location/" TargetMode="External"/><Relationship Id="rId25" Type="http://schemas.openxmlformats.org/officeDocument/2006/relationships/hyperlink" Target="https://manaby.co.jp/news/202301252/" TargetMode="External"/><Relationship Id="rId26" Type="http://schemas.openxmlformats.org/officeDocument/2006/relationships/hyperlink" Target="https://mdb-biz.jmar.co.jp/20220817" TargetMode="External"/><Relationship Id="rId27" Type="http://schemas.openxmlformats.org/officeDocument/2006/relationships/hyperlink" Target="https://www.nikkei.com/article/DGXMZO21941200V01C17A0XVA000/" TargetMode="External"/><Relationship Id="rId28" Type="http://schemas.openxmlformats.org/officeDocument/2006/relationships/hyperlink" Target="https://works.litalico.jp/about/data/" TargetMode="External"/><Relationship Id="rId29" Type="http://schemas.openxmlformats.org/officeDocument/2006/relationships/hyperlink" Target="https://www.mhlw.go.jp/content/001064502.pdf" TargetMode="External"/><Relationship Id="rId30" Type="http://schemas.openxmlformats.org/officeDocument/2006/relationships/hyperlink" Target="https://www.jpx.co.jp/equities/products/tpm/outline/index.html" TargetMode="External"/><Relationship Id="rId31" Type="http://schemas.openxmlformats.org/officeDocument/2006/relationships/hyperlink" Target="https://www.jpx.co.jp/equities/products/tpm/outline/02.html" TargetMode="External"/><Relationship Id="rId32" Type="http://schemas.openxmlformats.org/officeDocument/2006/relationships/hyperlink" Target="https://interview.interpresident.jp/tohoku/manaby/" TargetMode="External"/><Relationship Id="rId33" Type="http://schemas.openxmlformats.org/officeDocument/2006/relationships/hyperlink" Target="https://moneyworld.jp/stock/9222" TargetMode="External"/><Relationship Id="rId34" Type="http://schemas.openxmlformats.org/officeDocument/2006/relationships/hyperlink" Target="https://www.bloomberg.co.jp/quote/9222:JP" TargetMode="External"/><Relationship Id="rId35" Type="http://schemas.openxmlformats.org/officeDocument/2006/relationships/hyperlink" Target="https://minkabu.jp/stock/7366" TargetMode="External"/><Relationship Id="rId36" Type="http://schemas.openxmlformats.org/officeDocument/2006/relationships/hyperlink" Target="https://kabutan.jp/stock/finance?code=7366" TargetMode="External"/><Relationship Id="rId37" Type="http://schemas.openxmlformats.org/officeDocument/2006/relationships/hyperlink" Target="https://files.litalico.co.jp/assets/f527f6570c4e4f75b7e28a5cc9d765af/0118748cd78d4c91972d72a0d261e638/(J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