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AI-Powered E-Commerce Sales &amp; Business Analytics</w:t>
      </w:r>
    </w:p>
    <w:p>
      <w:pPr>
        <w:jc w:val="center"/>
      </w:pPr>
      <w:r>
        <w:rPr>
          <w:sz w:val="26"/>
        </w:rPr>
        <w:t>IBM SkillsBuild Data Analytics with AI Internship 2026</w:t>
      </w:r>
    </w:p>
    <w:p>
      <w:pPr>
        <w:spacing w:after="320"/>
        <w:jc w:val="center"/>
      </w:pPr>
      <w:r>
        <w:rPr>
          <w:sz w:val="20"/>
        </w:rPr>
        <w:t>Author: Tejaswini Lende  |  Dataset: Amazon Sale Report (Kaggle)  |  Tools: Python, Pandas, NumPy, Matplotlib, Seaborn, SQLite, Streamlit, IBM Bob</w:t>
      </w:r>
    </w:p>
    <w:p/>
    <w:p>
      <w:pPr>
        <w:pStyle w:val="Heading1"/>
      </w:pPr>
      <w:r>
        <w:rPr>
          <w:b/>
          <w:sz w:val="32"/>
        </w:rPr>
        <w:t>1. Problem Statement</w:t>
      </w:r>
    </w:p>
    <w:p>
      <w:pPr>
        <w:spacing w:after="160"/>
      </w:pPr>
      <w:r>
        <w:rPr>
          <w:sz w:val="22"/>
        </w:rPr>
        <w:t>E-commerce businesses generate large volumes of transactional data every day. Without proper analysis, this data remains an underutilised asset. This project addresses the challenge of transforming raw Amazon India order data into actionable business intelligence. The dataset covers approximately 129,000 orders placed between March and June 2022, capturing sales amounts, product categories, customer locations, order statuses, and fulfilment details.</w:t>
      </w:r>
    </w:p>
    <w:p>
      <w:pPr>
        <w:spacing w:after="240"/>
      </w:pPr>
      <w:r>
        <w:rPr>
          <w:sz w:val="22"/>
        </w:rPr>
        <w:t>The core business problem: How can a data analyst extract meaningful patterns from messy real-world e-commerce data to guide pricing, inventory, logistics, and marketing decisions?</w:t>
      </w:r>
    </w:p>
    <w:p>
      <w:pPr>
        <w:pStyle w:val="Heading1"/>
      </w:pPr>
      <w:r>
        <w:rPr>
          <w:b/>
          <w:sz w:val="32"/>
        </w:rPr>
        <w:t>2. Project Objectives</w:t>
      </w:r>
    </w:p>
    <w:p>
      <w:pPr>
        <w:pStyle w:val="ListBullet"/>
        <w:spacing w:after="60"/>
      </w:pPr>
      <w:r>
        <w:rPr>
          <w:sz w:val="22"/>
        </w:rPr>
        <w:t>Clean and prepare the raw dataset by handling missing values, duplicates, and inconsistent formats.</w:t>
      </w:r>
    </w:p>
    <w:p>
      <w:pPr>
        <w:pStyle w:val="ListBullet"/>
        <w:spacing w:after="60"/>
      </w:pPr>
      <w:r>
        <w:rPr>
          <w:sz w:val="22"/>
        </w:rPr>
        <w:t>Perform Exploratory Data Analysis (EDA) to understand the shape and distribution of the data.</w:t>
      </w:r>
    </w:p>
    <w:p>
      <w:pPr>
        <w:pStyle w:val="ListBullet"/>
        <w:spacing w:after="60"/>
      </w:pPr>
      <w:r>
        <w:rPr>
          <w:sz w:val="22"/>
        </w:rPr>
        <w:t>Analyse sales revenue, trends, and average order values over a three-month period.</w:t>
      </w:r>
    </w:p>
    <w:p>
      <w:pPr>
        <w:pStyle w:val="ListBullet"/>
        <w:spacing w:after="60"/>
      </w:pPr>
      <w:r>
        <w:rPr>
          <w:sz w:val="22"/>
        </w:rPr>
        <w:t>Investigate product category performance and top-selling SKUs.</w:t>
      </w:r>
    </w:p>
    <w:p>
      <w:pPr>
        <w:pStyle w:val="ListBullet"/>
        <w:spacing w:after="60"/>
      </w:pPr>
      <w:r>
        <w:rPr>
          <w:sz w:val="22"/>
        </w:rPr>
        <w:t>Identify high-revenue states and cities through geographical analysis.</w:t>
      </w:r>
    </w:p>
    <w:p>
      <w:pPr>
        <w:pStyle w:val="ListBullet"/>
        <w:spacing w:after="60"/>
      </w:pPr>
      <w:r>
        <w:rPr>
          <w:sz w:val="22"/>
        </w:rPr>
        <w:t>Evaluate order fulfilment types, cancellation rates, and shipping service levels.</w:t>
      </w:r>
    </w:p>
    <w:p>
      <w:pPr>
        <w:pStyle w:val="ListBullet"/>
        <w:spacing w:after="60"/>
      </w:pPr>
      <w:r>
        <w:rPr>
          <w:sz w:val="22"/>
        </w:rPr>
        <w:t>Execute 10 structured SQL queries using SQLite to answer defined business questions.</w:t>
      </w:r>
    </w:p>
    <w:p>
      <w:pPr>
        <w:pStyle w:val="ListBullet"/>
        <w:spacing w:after="60"/>
      </w:pPr>
      <w:r>
        <w:rPr>
          <w:sz w:val="22"/>
        </w:rPr>
        <w:t>Produce professional data visualisations using Matplotlib and Seaborn.</w:t>
      </w:r>
    </w:p>
    <w:p>
      <w:pPr>
        <w:pStyle w:val="ListBullet"/>
        <w:spacing w:after="60"/>
      </w:pPr>
      <w:r>
        <w:rPr>
          <w:sz w:val="22"/>
        </w:rPr>
        <w:t>Derive AI-assisted business insights using IBM Bob as an AI development assistant.</w:t>
      </w:r>
    </w:p>
    <w:p>
      <w:pPr>
        <w:pStyle w:val="ListBullet"/>
        <w:spacing w:after="60"/>
      </w:pPr>
      <w:r>
        <w:rPr>
          <w:sz w:val="22"/>
        </w:rPr>
        <w:t>Build an interactive Streamlit dashboard for non-technical stakeholders.</w:t>
      </w:r>
    </w:p>
    <w:p/>
    <w:p>
      <w:pPr>
        <w:pStyle w:val="Heading1"/>
      </w:pPr>
      <w:r>
        <w:rPr>
          <w:b/>
          <w:sz w:val="32"/>
        </w:rPr>
        <w:t>3. Dataset Description</w:t>
      </w:r>
    </w:p>
    <w:p>
      <w:pPr>
        <w:spacing w:after="160"/>
      </w:pPr>
      <w:r>
        <w:rPr>
          <w:sz w:val="22"/>
        </w:rPr>
        <w:t>Source: Kaggle — Amazon Sales Report</w:t>
      </w:r>
    </w:p>
    <w:p>
      <w:pPr>
        <w:spacing w:after="160"/>
      </w:pPr>
      <w:r>
        <w:rPr>
          <w:sz w:val="22"/>
        </w:rPr>
        <w:t>URL: https://www.kaggle.com/datasets/thedevastator/unlock-profits-with-e-commerce-sales-data</w:t>
      </w:r>
    </w:p>
    <w:p>
      <w:pPr>
        <w:spacing w:after="160"/>
      </w:pPr>
      <w:r>
        <w:rPr>
          <w:sz w:val="22"/>
        </w:rPr>
        <w:t>The dataset contains Amazon India sales records for the April-June 2022 period (with a single day from March 2022). The raw file has 128,975 rows and 24 columns. After cleaning, the working dataset contains 110,687 unique orders with verified monetary values. All amounts are in Indian Rupees (INR). The Unnamed: 22 column was an empty artifact and was dropped.</w:t>
      </w:r>
    </w:p>
    <w:p>
      <w:pPr>
        <w:spacing w:after="240"/>
      </w:pPr>
      <w:r>
        <w:rPr>
          <w:sz w:val="22"/>
        </w:rPr>
        <w:t>Key columns: Order ID, Date, Status, Fulfilment, Sales Channel, ship-service-level, SKU, Category, Size, Qty, Amount, ship-city, ship-state, ship-postal-code, ship-country, promotion-ids, B2B, fulfilled-by.</w:t>
      </w:r>
    </w:p>
    <w:p>
      <w:pPr>
        <w:pStyle w:val="Heading1"/>
      </w:pPr>
      <w:r>
        <w:rPr>
          <w:b/>
          <w:sz w:val="32"/>
        </w:rPr>
        <w:t>4. Data Cleaning Methodology</w:t>
      </w:r>
    </w:p>
    <w:p>
      <w:pPr>
        <w:pStyle w:val="ListBullet"/>
        <w:spacing w:after="60"/>
      </w:pPr>
      <w:r>
        <w:rPr>
          <w:sz w:val="22"/>
        </w:rPr>
        <w:t>Step 1 - Drop empty column: The Unnamed: 22 column was entirely null and was dropped.</w:t>
      </w:r>
    </w:p>
    <w:p>
      <w:pPr>
        <w:pStyle w:val="ListBullet"/>
        <w:spacing w:after="60"/>
      </w:pPr>
      <w:r>
        <w:rPr>
          <w:sz w:val="22"/>
        </w:rPr>
        <w:t>Step 2 - Parse Date: Converted from MM-DD-YY string format to Python datetime objects to enable time-series analysis.</w:t>
      </w:r>
    </w:p>
    <w:p>
      <w:pPr>
        <w:pStyle w:val="ListBullet"/>
        <w:spacing w:after="60"/>
      </w:pPr>
      <w:r>
        <w:rPr>
          <w:sz w:val="22"/>
        </w:rPr>
        <w:t>Step 3 - Remove null/zero Amount rows: 7,795 rows with null Amount were removed. Rows with Amount = 0 were also removed as they carry no monetary signal.</w:t>
      </w:r>
    </w:p>
    <w:p>
      <w:pPr>
        <w:pStyle w:val="ListBullet"/>
        <w:spacing w:after="60"/>
      </w:pPr>
      <w:r>
        <w:rPr>
          <w:sz w:val="22"/>
        </w:rPr>
        <w:t>Step 4 - Remove duplicate Order IDs: Duplicates were removed by keeping the first occurrence, ensuring each row represents a unique order.</w:t>
      </w:r>
    </w:p>
    <w:p>
      <w:pPr>
        <w:pStyle w:val="ListBullet"/>
        <w:spacing w:after="60"/>
      </w:pPr>
      <w:r>
        <w:rPr>
          <w:sz w:val="22"/>
        </w:rPr>
        <w:t>Step 5 - Standardise geography: ship-state and ship-city stripped of whitespace and converted to uppercase to unify inconsistent entries (e.g., 'Karnataka' and 'KARNATAKA').</w:t>
      </w:r>
    </w:p>
    <w:p>
      <w:pPr>
        <w:pStyle w:val="ListBullet"/>
        <w:spacing w:after="60"/>
      </w:pPr>
      <w:r>
        <w:rPr>
          <w:sz w:val="22"/>
        </w:rPr>
        <w:t>Step 6 - Fill missing Courier Status: Null values filled with 'Unknown' rather than dropping rows.</w:t>
      </w:r>
    </w:p>
    <w:p>
      <w:pPr>
        <w:pStyle w:val="ListBullet"/>
        <w:spacing w:after="60"/>
      </w:pPr>
      <w:r>
        <w:rPr>
          <w:sz w:val="22"/>
        </w:rPr>
        <w:t>Step 7 - Derived columns: Month (YYYY-MM format), Month_Name (e.g., Apr 2022), and Has_Promotion binary flag were created.</w:t>
      </w:r>
    </w:p>
    <w:p/>
    <w:p>
      <w:pPr>
        <w:pStyle w:val="Heading1"/>
      </w:pPr>
      <w:r>
        <w:rPr>
          <w:b/>
          <w:sz w:val="32"/>
        </w:rPr>
        <w:t>5. Key Findings</w:t>
      </w:r>
    </w:p>
    <w:p>
      <w:pPr>
        <w:pStyle w:val="Heading2"/>
      </w:pPr>
      <w:r>
        <w:rPr>
          <w:b/>
          <w:sz w:val="26"/>
        </w:rPr>
        <w:t>5.1 Overall Business Metrics</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b/>
                <w:sz w:val="20"/>
              </w:rPr>
              <w:t>Metric</w:t>
            </w:r>
          </w:p>
        </w:tc>
        <w:tc>
          <w:tcPr>
            <w:tcW w:type="dxa" w:w="4320"/>
          </w:tcPr>
          <w:p>
            <w:pPr>
              <w:spacing w:after="40"/>
            </w:pPr>
            <w:r>
              <w:rPr>
                <w:b/>
                <w:sz w:val="20"/>
              </w:rPr>
              <w:t>Value</w:t>
            </w:r>
          </w:p>
        </w:tc>
      </w:tr>
      <w:tr>
        <w:tc>
          <w:tcPr>
            <w:tcW w:type="dxa" w:w="4320"/>
          </w:tcPr>
          <w:p>
            <w:r>
              <w:rPr>
                <w:sz w:val="20"/>
              </w:rPr>
              <w:t>Total Revenue (INR)</w:t>
            </w:r>
          </w:p>
        </w:tc>
        <w:tc>
          <w:tcPr>
            <w:tcW w:type="dxa" w:w="4320"/>
          </w:tcPr>
          <w:p>
            <w:r>
              <w:rPr>
                <w:sz w:val="20"/>
              </w:rPr>
              <w:t>Rs. 7,85,92,678  (approx. Rs. 7.86 Crore)</w:t>
            </w:r>
          </w:p>
        </w:tc>
      </w:tr>
      <w:tr>
        <w:tc>
          <w:tcPr>
            <w:tcW w:type="dxa" w:w="4320"/>
          </w:tcPr>
          <w:p>
            <w:r>
              <w:rPr>
                <w:sz w:val="20"/>
              </w:rPr>
              <w:t>Total Unique Orders</w:t>
            </w:r>
          </w:p>
        </w:tc>
        <w:tc>
          <w:tcPr>
            <w:tcW w:type="dxa" w:w="4320"/>
          </w:tcPr>
          <w:p>
            <w:r>
              <w:rPr>
                <w:sz w:val="20"/>
              </w:rPr>
              <w:t>1,10,687</w:t>
            </w:r>
          </w:p>
        </w:tc>
      </w:tr>
      <w:tr>
        <w:tc>
          <w:tcPr>
            <w:tcW w:type="dxa" w:w="4320"/>
          </w:tcPr>
          <w:p>
            <w:r>
              <w:rPr>
                <w:sz w:val="20"/>
              </w:rPr>
              <w:t>Average Order Value</w:t>
            </w:r>
          </w:p>
        </w:tc>
        <w:tc>
          <w:tcPr>
            <w:tcW w:type="dxa" w:w="4320"/>
          </w:tcPr>
          <w:p>
            <w:r>
              <w:rPr>
                <w:sz w:val="20"/>
              </w:rPr>
              <w:t>Rs. 661.35</w:t>
            </w:r>
          </w:p>
        </w:tc>
      </w:tr>
      <w:tr>
        <w:tc>
          <w:tcPr>
            <w:tcW w:type="dxa" w:w="4320"/>
          </w:tcPr>
          <w:p>
            <w:r>
              <w:rPr>
                <w:sz w:val="20"/>
              </w:rPr>
              <w:t>Total Units Sold</w:t>
            </w:r>
          </w:p>
        </w:tc>
        <w:tc>
          <w:tcPr>
            <w:tcW w:type="dxa" w:w="4320"/>
          </w:tcPr>
          <w:p>
            <w:r>
              <w:rPr>
                <w:sz w:val="20"/>
              </w:rPr>
              <w:t>1,14,139</w:t>
            </w:r>
          </w:p>
        </w:tc>
      </w:tr>
      <w:tr>
        <w:tc>
          <w:tcPr>
            <w:tcW w:type="dxa" w:w="4320"/>
          </w:tcPr>
          <w:p>
            <w:r>
              <w:rPr>
                <w:sz w:val="20"/>
              </w:rPr>
              <w:t>Unique SKUs</w:t>
            </w:r>
          </w:p>
        </w:tc>
        <w:tc>
          <w:tcPr>
            <w:tcW w:type="dxa" w:w="4320"/>
          </w:tcPr>
          <w:p>
            <w:r>
              <w:rPr>
                <w:sz w:val="20"/>
              </w:rPr>
              <w:t>7,190</w:t>
            </w:r>
          </w:p>
        </w:tc>
      </w:tr>
      <w:tr>
        <w:tc>
          <w:tcPr>
            <w:tcW w:type="dxa" w:w="4320"/>
          </w:tcPr>
          <w:p>
            <w:r>
              <w:rPr>
                <w:sz w:val="20"/>
              </w:rPr>
              <w:t>States Covered</w:t>
            </w:r>
          </w:p>
        </w:tc>
        <w:tc>
          <w:tcPr>
            <w:tcW w:type="dxa" w:w="4320"/>
          </w:tcPr>
          <w:p>
            <w:r>
              <w:rPr>
                <w:sz w:val="20"/>
              </w:rPr>
              <w:t>27</w:t>
            </w:r>
          </w:p>
        </w:tc>
      </w:tr>
    </w:tbl>
    <w:p/>
    <w:p>
      <w:pPr>
        <w:pStyle w:val="Heading2"/>
      </w:pPr>
      <w:r>
        <w:rPr>
          <w:b/>
          <w:sz w:val="26"/>
        </w:rPr>
        <w:t>5.2 Category Performance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20"/>
              </w:rPr>
              <w:t>Category</w:t>
            </w:r>
          </w:p>
        </w:tc>
        <w:tc>
          <w:tcPr>
            <w:tcW w:type="dxa" w:w="2160"/>
          </w:tcPr>
          <w:p>
            <w:pPr>
              <w:spacing w:after="40"/>
            </w:pPr>
            <w:r>
              <w:rPr>
                <w:b/>
                <w:sz w:val="20"/>
              </w:rPr>
              <w:t>Revenue (INR)</w:t>
            </w:r>
          </w:p>
        </w:tc>
        <w:tc>
          <w:tcPr>
            <w:tcW w:type="dxa" w:w="2160"/>
          </w:tcPr>
          <w:p>
            <w:pPr>
              <w:spacing w:after="40"/>
            </w:pPr>
            <w:r>
              <w:rPr>
                <w:b/>
                <w:sz w:val="20"/>
              </w:rPr>
              <w:t>Orders</w:t>
            </w:r>
          </w:p>
        </w:tc>
        <w:tc>
          <w:tcPr>
            <w:tcW w:type="dxa" w:w="2160"/>
          </w:tcPr>
          <w:p>
            <w:pPr>
              <w:spacing w:after="40"/>
            </w:pPr>
            <w:r>
              <w:rPr>
                <w:b/>
                <w:sz w:val="20"/>
              </w:rPr>
              <w:t>Revenue %</w:t>
            </w:r>
          </w:p>
        </w:tc>
      </w:tr>
      <w:tr>
        <w:tc>
          <w:tcPr>
            <w:tcW w:type="dxa" w:w="2160"/>
          </w:tcPr>
          <w:p>
            <w:r>
              <w:rPr>
                <w:sz w:val="20"/>
              </w:rPr>
              <w:t>Set</w:t>
            </w:r>
          </w:p>
        </w:tc>
        <w:tc>
          <w:tcPr>
            <w:tcW w:type="dxa" w:w="2160"/>
          </w:tcPr>
          <w:p>
            <w:r>
              <w:rPr>
                <w:sz w:val="20"/>
              </w:rPr>
              <w:t>3,92,04,124</w:t>
            </w:r>
          </w:p>
        </w:tc>
        <w:tc>
          <w:tcPr>
            <w:tcW w:type="dxa" w:w="2160"/>
          </w:tcPr>
          <w:p>
            <w:r>
              <w:rPr>
                <w:sz w:val="20"/>
              </w:rPr>
              <w:t>38,234</w:t>
            </w:r>
          </w:p>
        </w:tc>
        <w:tc>
          <w:tcPr>
            <w:tcW w:type="dxa" w:w="2160"/>
          </w:tcPr>
          <w:p>
            <w:r>
              <w:rPr>
                <w:sz w:val="20"/>
              </w:rPr>
              <w:t>49.9%</w:t>
            </w:r>
          </w:p>
        </w:tc>
      </w:tr>
      <w:tr>
        <w:tc>
          <w:tcPr>
            <w:tcW w:type="dxa" w:w="2160"/>
          </w:tcPr>
          <w:p>
            <w:r>
              <w:rPr>
                <w:sz w:val="20"/>
              </w:rPr>
              <w:t>Kurta</w:t>
            </w:r>
          </w:p>
        </w:tc>
        <w:tc>
          <w:tcPr>
            <w:tcW w:type="dxa" w:w="2160"/>
          </w:tcPr>
          <w:p>
            <w:r>
              <w:rPr>
                <w:sz w:val="20"/>
              </w:rPr>
              <w:t>2,12,99,547</w:t>
            </w:r>
          </w:p>
        </w:tc>
        <w:tc>
          <w:tcPr>
            <w:tcW w:type="dxa" w:w="2160"/>
          </w:tcPr>
          <w:p>
            <w:r>
              <w:rPr>
                <w:sz w:val="20"/>
              </w:rPr>
              <w:t>35,777</w:t>
            </w:r>
          </w:p>
        </w:tc>
        <w:tc>
          <w:tcPr>
            <w:tcW w:type="dxa" w:w="2160"/>
          </w:tcPr>
          <w:p>
            <w:r>
              <w:rPr>
                <w:sz w:val="20"/>
              </w:rPr>
              <w:t>27.1%</w:t>
            </w:r>
          </w:p>
        </w:tc>
      </w:tr>
      <w:tr>
        <w:tc>
          <w:tcPr>
            <w:tcW w:type="dxa" w:w="2160"/>
          </w:tcPr>
          <w:p>
            <w:r>
              <w:rPr>
                <w:sz w:val="20"/>
              </w:rPr>
              <w:t>Western Dress</w:t>
            </w:r>
          </w:p>
        </w:tc>
        <w:tc>
          <w:tcPr>
            <w:tcW w:type="dxa" w:w="2160"/>
          </w:tcPr>
          <w:p>
            <w:r>
              <w:rPr>
                <w:sz w:val="20"/>
              </w:rPr>
              <w:t>1,12,16,073</w:t>
            </w:r>
          </w:p>
        </w:tc>
        <w:tc>
          <w:tcPr>
            <w:tcW w:type="dxa" w:w="2160"/>
          </w:tcPr>
          <w:p>
            <w:r>
              <w:rPr>
                <w:sz w:val="20"/>
              </w:rPr>
              <w:t>12,530</w:t>
            </w:r>
          </w:p>
        </w:tc>
        <w:tc>
          <w:tcPr>
            <w:tcW w:type="dxa" w:w="2160"/>
          </w:tcPr>
          <w:p>
            <w:r>
              <w:rPr>
                <w:sz w:val="20"/>
              </w:rPr>
              <w:t>14.3%</w:t>
            </w:r>
          </w:p>
        </w:tc>
      </w:tr>
      <w:tr>
        <w:tc>
          <w:tcPr>
            <w:tcW w:type="dxa" w:w="2160"/>
          </w:tcPr>
          <w:p>
            <w:r>
              <w:rPr>
                <w:sz w:val="20"/>
              </w:rPr>
              <w:t>Top</w:t>
            </w:r>
          </w:p>
        </w:tc>
        <w:tc>
          <w:tcPr>
            <w:tcW w:type="dxa" w:w="2160"/>
          </w:tcPr>
          <w:p>
            <w:r>
              <w:rPr>
                <w:sz w:val="20"/>
              </w:rPr>
              <w:t>53,47,792</w:t>
            </w:r>
          </w:p>
        </w:tc>
        <w:tc>
          <w:tcPr>
            <w:tcW w:type="dxa" w:w="2160"/>
          </w:tcPr>
          <w:p>
            <w:r>
              <w:rPr>
                <w:sz w:val="20"/>
              </w:rPr>
              <w:t>8,716</w:t>
            </w:r>
          </w:p>
        </w:tc>
        <w:tc>
          <w:tcPr>
            <w:tcW w:type="dxa" w:w="2160"/>
          </w:tcPr>
          <w:p>
            <w:r>
              <w:rPr>
                <w:sz w:val="20"/>
              </w:rPr>
              <w:t>6.8%</w:t>
            </w:r>
          </w:p>
        </w:tc>
      </w:tr>
      <w:tr>
        <w:tc>
          <w:tcPr>
            <w:tcW w:type="dxa" w:w="2160"/>
          </w:tcPr>
          <w:p>
            <w:r>
              <w:rPr>
                <w:sz w:val="20"/>
              </w:rPr>
              <w:t>Ethnic Dress</w:t>
            </w:r>
          </w:p>
        </w:tc>
        <w:tc>
          <w:tcPr>
            <w:tcW w:type="dxa" w:w="2160"/>
          </w:tcPr>
          <w:p>
            <w:r>
              <w:rPr>
                <w:sz w:val="20"/>
              </w:rPr>
              <w:t>7,91,218</w:t>
            </w:r>
          </w:p>
        </w:tc>
        <w:tc>
          <w:tcPr>
            <w:tcW w:type="dxa" w:w="2160"/>
          </w:tcPr>
          <w:p>
            <w:r>
              <w:rPr>
                <w:sz w:val="20"/>
              </w:rPr>
              <w:t>1,000</w:t>
            </w:r>
          </w:p>
        </w:tc>
        <w:tc>
          <w:tcPr>
            <w:tcW w:type="dxa" w:w="2160"/>
          </w:tcPr>
          <w:p>
            <w:r>
              <w:rPr>
                <w:sz w:val="20"/>
              </w:rPr>
              <w:t>1.0%</w:t>
            </w:r>
          </w:p>
        </w:tc>
      </w:tr>
      <w:tr>
        <w:tc>
          <w:tcPr>
            <w:tcW w:type="dxa" w:w="2160"/>
          </w:tcPr>
          <w:p>
            <w:r>
              <w:rPr>
                <w:sz w:val="20"/>
              </w:rPr>
              <w:t>Blouse</w:t>
            </w:r>
          </w:p>
        </w:tc>
        <w:tc>
          <w:tcPr>
            <w:tcW w:type="dxa" w:w="2160"/>
          </w:tcPr>
          <w:p>
            <w:r>
              <w:rPr>
                <w:sz w:val="20"/>
              </w:rPr>
              <w:t>4,58,408</w:t>
            </w:r>
          </w:p>
        </w:tc>
        <w:tc>
          <w:tcPr>
            <w:tcW w:type="dxa" w:w="2160"/>
          </w:tcPr>
          <w:p>
            <w:r>
              <w:rPr>
                <w:sz w:val="20"/>
              </w:rPr>
              <w:t>818</w:t>
            </w:r>
          </w:p>
        </w:tc>
        <w:tc>
          <w:tcPr>
            <w:tcW w:type="dxa" w:w="2160"/>
          </w:tcPr>
          <w:p>
            <w:r>
              <w:rPr>
                <w:sz w:val="20"/>
              </w:rPr>
              <w:t>0.6%</w:t>
            </w:r>
          </w:p>
        </w:tc>
      </w:tr>
      <w:tr>
        <w:tc>
          <w:tcPr>
            <w:tcW w:type="dxa" w:w="2160"/>
          </w:tcPr>
          <w:p>
            <w:r>
              <w:rPr>
                <w:sz w:val="20"/>
              </w:rPr>
              <w:t>Bottom</w:t>
            </w:r>
          </w:p>
        </w:tc>
        <w:tc>
          <w:tcPr>
            <w:tcW w:type="dxa" w:w="2160"/>
          </w:tcPr>
          <w:p>
            <w:r>
              <w:rPr>
                <w:sz w:val="20"/>
              </w:rPr>
              <w:t>1,50,668</w:t>
            </w:r>
          </w:p>
        </w:tc>
        <w:tc>
          <w:tcPr>
            <w:tcW w:type="dxa" w:w="2160"/>
          </w:tcPr>
          <w:p>
            <w:r>
              <w:rPr>
                <w:sz w:val="20"/>
              </w:rPr>
              <w:t>386</w:t>
            </w:r>
          </w:p>
        </w:tc>
        <w:tc>
          <w:tcPr>
            <w:tcW w:type="dxa" w:w="2160"/>
          </w:tcPr>
          <w:p>
            <w:r>
              <w:rPr>
                <w:sz w:val="20"/>
              </w:rPr>
              <w:t>0.2%</w:t>
            </w:r>
          </w:p>
        </w:tc>
      </w:tr>
      <w:tr>
        <w:tc>
          <w:tcPr>
            <w:tcW w:type="dxa" w:w="2160"/>
          </w:tcPr>
          <w:p>
            <w:r>
              <w:rPr>
                <w:sz w:val="20"/>
              </w:rPr>
              <w:t>Saree</w:t>
            </w:r>
          </w:p>
        </w:tc>
        <w:tc>
          <w:tcPr>
            <w:tcW w:type="dxa" w:w="2160"/>
          </w:tcPr>
          <w:p>
            <w:r>
              <w:rPr>
                <w:sz w:val="20"/>
              </w:rPr>
              <w:t>1,23,934</w:t>
            </w:r>
          </w:p>
        </w:tc>
        <w:tc>
          <w:tcPr>
            <w:tcW w:type="dxa" w:w="2160"/>
          </w:tcPr>
          <w:p>
            <w:r>
              <w:rPr>
                <w:sz w:val="20"/>
              </w:rPr>
              <w:t>148</w:t>
            </w:r>
          </w:p>
        </w:tc>
        <w:tc>
          <w:tcPr>
            <w:tcW w:type="dxa" w:w="2160"/>
          </w:tcPr>
          <w:p>
            <w:r>
              <w:rPr>
                <w:sz w:val="20"/>
              </w:rPr>
              <w:t>0.2%</w:t>
            </w:r>
          </w:p>
        </w:tc>
      </w:tr>
      <w:tr>
        <w:tc>
          <w:tcPr>
            <w:tcW w:type="dxa" w:w="2160"/>
          </w:tcPr>
          <w:p>
            <w:r>
              <w:rPr>
                <w:sz w:val="20"/>
              </w:rPr>
              <w:t>Dupatta</w:t>
            </w:r>
          </w:p>
        </w:tc>
        <w:tc>
          <w:tcPr>
            <w:tcW w:type="dxa" w:w="2160"/>
          </w:tcPr>
          <w:p>
            <w:r>
              <w:rPr>
                <w:sz w:val="20"/>
              </w:rPr>
              <w:t>915</w:t>
            </w:r>
          </w:p>
        </w:tc>
        <w:tc>
          <w:tcPr>
            <w:tcW w:type="dxa" w:w="2160"/>
          </w:tcPr>
          <w:p>
            <w:r>
              <w:rPr>
                <w:sz w:val="20"/>
              </w:rPr>
              <w:t>3</w:t>
            </w:r>
          </w:p>
        </w:tc>
        <w:tc>
          <w:tcPr>
            <w:tcW w:type="dxa" w:w="2160"/>
          </w:tcPr>
          <w:p>
            <w:r>
              <w:rPr>
                <w:sz w:val="20"/>
              </w:rPr>
              <w:t>&lt;0.1%</w:t>
            </w:r>
          </w:p>
        </w:tc>
      </w:tr>
    </w:tbl>
    <w:p/>
    <w:p>
      <w:pPr>
        <w:spacing w:after="160"/>
      </w:pPr>
      <w:r>
        <w:rPr>
          <w:sz w:val="22"/>
        </w:rPr>
        <w:t>Finding: Set and Kurta together account for 77% of total revenue. This level of concentration in two product categories poses a business risk and signals a need for category diversification.</w:t>
      </w:r>
    </w:p>
    <w:p>
      <w:pPr>
        <w:pStyle w:val="Heading2"/>
      </w:pPr>
      <w:r>
        <w:rPr>
          <w:b/>
          <w:sz w:val="26"/>
        </w:rPr>
        <w:t>5.3 Monthly Sales Trend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20"/>
              </w:rPr>
              <w:t>Month</w:t>
            </w:r>
          </w:p>
        </w:tc>
        <w:tc>
          <w:tcPr>
            <w:tcW w:type="dxa" w:w="2160"/>
          </w:tcPr>
          <w:p>
            <w:pPr>
              <w:spacing w:after="40"/>
            </w:pPr>
            <w:r>
              <w:rPr>
                <w:b/>
                <w:sz w:val="20"/>
              </w:rPr>
              <w:t>Revenue (INR)</w:t>
            </w:r>
          </w:p>
        </w:tc>
        <w:tc>
          <w:tcPr>
            <w:tcW w:type="dxa" w:w="2160"/>
          </w:tcPr>
          <w:p>
            <w:pPr>
              <w:spacing w:after="40"/>
            </w:pPr>
            <w:r>
              <w:rPr>
                <w:b/>
                <w:sz w:val="20"/>
              </w:rPr>
              <w:t>Orders</w:t>
            </w:r>
          </w:p>
        </w:tc>
        <w:tc>
          <w:tcPr>
            <w:tcW w:type="dxa" w:w="2160"/>
          </w:tcPr>
          <w:p>
            <w:pPr>
              <w:spacing w:after="40"/>
            </w:pPr>
            <w:r>
              <w:rPr>
                <w:b/>
                <w:sz w:val="20"/>
              </w:rPr>
              <w:t>Avg Order Value</w:t>
            </w:r>
          </w:p>
        </w:tc>
      </w:tr>
      <w:tr>
        <w:tc>
          <w:tcPr>
            <w:tcW w:type="dxa" w:w="2160"/>
          </w:tcPr>
          <w:p>
            <w:r>
              <w:rPr>
                <w:sz w:val="20"/>
              </w:rPr>
              <w:t>March 2022 (1 day)</w:t>
            </w:r>
          </w:p>
        </w:tc>
        <w:tc>
          <w:tcPr>
            <w:tcW w:type="dxa" w:w="2160"/>
          </w:tcPr>
          <w:p>
            <w:r>
              <w:rPr>
                <w:sz w:val="20"/>
              </w:rPr>
              <w:t>1,01,684</w:t>
            </w:r>
          </w:p>
        </w:tc>
        <w:tc>
          <w:tcPr>
            <w:tcW w:type="dxa" w:w="2160"/>
          </w:tcPr>
          <w:p>
            <w:r>
              <w:rPr>
                <w:sz w:val="20"/>
              </w:rPr>
              <w:t>163</w:t>
            </w:r>
          </w:p>
        </w:tc>
        <w:tc>
          <w:tcPr>
            <w:tcW w:type="dxa" w:w="2160"/>
          </w:tcPr>
          <w:p>
            <w:r>
              <w:rPr>
                <w:sz w:val="20"/>
              </w:rPr>
              <w:t>623.83</w:t>
            </w:r>
          </w:p>
        </w:tc>
      </w:tr>
      <w:tr>
        <w:tc>
          <w:tcPr>
            <w:tcW w:type="dxa" w:w="2160"/>
          </w:tcPr>
          <w:p>
            <w:r>
              <w:rPr>
                <w:sz w:val="20"/>
              </w:rPr>
              <w:t>April 2022</w:t>
            </w:r>
          </w:p>
        </w:tc>
        <w:tc>
          <w:tcPr>
            <w:tcW w:type="dxa" w:w="2160"/>
          </w:tcPr>
          <w:p>
            <w:r>
              <w:rPr>
                <w:sz w:val="20"/>
              </w:rPr>
              <w:t>2,88,38,708</w:t>
            </w:r>
          </w:p>
        </w:tc>
        <w:tc>
          <w:tcPr>
            <w:tcW w:type="dxa" w:w="2160"/>
          </w:tcPr>
          <w:p>
            <w:r>
              <w:rPr>
                <w:sz w:val="20"/>
              </w:rPr>
              <w:t>43,636</w:t>
            </w:r>
          </w:p>
        </w:tc>
        <w:tc>
          <w:tcPr>
            <w:tcW w:type="dxa" w:w="2160"/>
          </w:tcPr>
          <w:p>
            <w:r>
              <w:rPr>
                <w:sz w:val="20"/>
              </w:rPr>
              <w:t>661.00</w:t>
            </w:r>
          </w:p>
        </w:tc>
      </w:tr>
      <w:tr>
        <w:tc>
          <w:tcPr>
            <w:tcW w:type="dxa" w:w="2160"/>
          </w:tcPr>
          <w:p>
            <w:r>
              <w:rPr>
                <w:sz w:val="20"/>
              </w:rPr>
              <w:t>May 2022</w:t>
            </w:r>
          </w:p>
        </w:tc>
        <w:tc>
          <w:tcPr>
            <w:tcW w:type="dxa" w:w="2160"/>
          </w:tcPr>
          <w:p>
            <w:r>
              <w:rPr>
                <w:sz w:val="20"/>
              </w:rPr>
              <w:t>2,62,26,477</w:t>
            </w:r>
          </w:p>
        </w:tc>
        <w:tc>
          <w:tcPr>
            <w:tcW w:type="dxa" w:w="2160"/>
          </w:tcPr>
          <w:p>
            <w:r>
              <w:rPr>
                <w:sz w:val="20"/>
              </w:rPr>
              <w:t>38,905</w:t>
            </w:r>
          </w:p>
        </w:tc>
        <w:tc>
          <w:tcPr>
            <w:tcW w:type="dxa" w:w="2160"/>
          </w:tcPr>
          <w:p>
            <w:r>
              <w:rPr>
                <w:sz w:val="20"/>
              </w:rPr>
              <w:t>674.14</w:t>
            </w:r>
          </w:p>
        </w:tc>
      </w:tr>
      <w:tr>
        <w:tc>
          <w:tcPr>
            <w:tcW w:type="dxa" w:w="2160"/>
          </w:tcPr>
          <w:p>
            <w:r>
              <w:rPr>
                <w:sz w:val="20"/>
              </w:rPr>
              <w:t>June 2022</w:t>
            </w:r>
          </w:p>
        </w:tc>
        <w:tc>
          <w:tcPr>
            <w:tcW w:type="dxa" w:w="2160"/>
          </w:tcPr>
          <w:p>
            <w:r>
              <w:rPr>
                <w:sz w:val="20"/>
              </w:rPr>
              <w:t>2,34,25,809</w:t>
            </w:r>
          </w:p>
        </w:tc>
        <w:tc>
          <w:tcPr>
            <w:tcW w:type="dxa" w:w="2160"/>
          </w:tcPr>
          <w:p>
            <w:r>
              <w:rPr>
                <w:sz w:val="20"/>
              </w:rPr>
              <w:t>27,983</w:t>
            </w:r>
          </w:p>
        </w:tc>
        <w:tc>
          <w:tcPr>
            <w:tcW w:type="dxa" w:w="2160"/>
          </w:tcPr>
          <w:p>
            <w:r>
              <w:rPr>
                <w:sz w:val="20"/>
              </w:rPr>
              <w:t>837.10</w:t>
            </w:r>
          </w:p>
        </w:tc>
      </w:tr>
    </w:tbl>
    <w:p/>
    <w:p>
      <w:pPr>
        <w:spacing w:after="160"/>
      </w:pPr>
      <w:r>
        <w:rPr>
          <w:sz w:val="22"/>
        </w:rPr>
        <w:t>Finding: Revenue peaked in April 2022 and declined through June. However, the Average Order Value increased in June, suggesting fewer but higher-value orders toward the end of the period. March 2022 is excluded from trend analysis as only one day of data is available.</w:t>
      </w:r>
    </w:p>
    <w:p>
      <w:pPr>
        <w:pStyle w:val="Heading2"/>
      </w:pPr>
      <w:r>
        <w:rPr>
          <w:b/>
          <w:sz w:val="26"/>
        </w:rPr>
        <w:t>5.4 Geographical Analysis - Top 5 States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b/>
                <w:sz w:val="20"/>
              </w:rPr>
              <w:t>State</w:t>
            </w:r>
          </w:p>
        </w:tc>
        <w:tc>
          <w:tcPr>
            <w:tcW w:type="dxa" w:w="2880"/>
          </w:tcPr>
          <w:p>
            <w:pPr>
              <w:spacing w:after="40"/>
            </w:pPr>
            <w:r>
              <w:rPr>
                <w:b/>
                <w:sz w:val="20"/>
              </w:rPr>
              <w:t>Revenue (INR)</w:t>
            </w:r>
          </w:p>
        </w:tc>
        <w:tc>
          <w:tcPr>
            <w:tcW w:type="dxa" w:w="2880"/>
          </w:tcPr>
          <w:p>
            <w:pPr>
              <w:spacing w:after="40"/>
            </w:pPr>
            <w:r>
              <w:rPr>
                <w:b/>
                <w:sz w:val="20"/>
              </w:rPr>
              <w:t>Orders</w:t>
            </w:r>
          </w:p>
        </w:tc>
      </w:tr>
      <w:tr>
        <w:tc>
          <w:tcPr>
            <w:tcW w:type="dxa" w:w="2880"/>
          </w:tcPr>
          <w:p>
            <w:r>
              <w:rPr>
                <w:sz w:val="20"/>
              </w:rPr>
              <w:t>Maharashtra</w:t>
            </w:r>
          </w:p>
        </w:tc>
        <w:tc>
          <w:tcPr>
            <w:tcW w:type="dxa" w:w="2880"/>
          </w:tcPr>
          <w:p>
            <w:r>
              <w:rPr>
                <w:sz w:val="20"/>
              </w:rPr>
              <w:t>1,33,35,534</w:t>
            </w:r>
          </w:p>
        </w:tc>
        <w:tc>
          <w:tcPr>
            <w:tcW w:type="dxa" w:w="2880"/>
          </w:tcPr>
          <w:p>
            <w:r>
              <w:rPr>
                <w:sz w:val="20"/>
              </w:rPr>
              <w:t>19,811</w:t>
            </w:r>
          </w:p>
        </w:tc>
      </w:tr>
      <w:tr>
        <w:tc>
          <w:tcPr>
            <w:tcW w:type="dxa" w:w="2880"/>
          </w:tcPr>
          <w:p>
            <w:r>
              <w:rPr>
                <w:sz w:val="20"/>
              </w:rPr>
              <w:t>Karnataka</w:t>
            </w:r>
          </w:p>
        </w:tc>
        <w:tc>
          <w:tcPr>
            <w:tcW w:type="dxa" w:w="2880"/>
          </w:tcPr>
          <w:p>
            <w:r>
              <w:rPr>
                <w:sz w:val="20"/>
              </w:rPr>
              <w:t>1,04,81,114</w:t>
            </w:r>
          </w:p>
        </w:tc>
        <w:tc>
          <w:tcPr>
            <w:tcW w:type="dxa" w:w="2880"/>
          </w:tcPr>
          <w:p>
            <w:r>
              <w:rPr>
                <w:sz w:val="20"/>
              </w:rPr>
              <w:t>15,000</w:t>
            </w:r>
          </w:p>
        </w:tc>
      </w:tr>
      <w:tr>
        <w:tc>
          <w:tcPr>
            <w:tcW w:type="dxa" w:w="2880"/>
          </w:tcPr>
          <w:p>
            <w:r>
              <w:rPr>
                <w:sz w:val="20"/>
              </w:rPr>
              <w:t>Telangana</w:t>
            </w:r>
          </w:p>
        </w:tc>
        <w:tc>
          <w:tcPr>
            <w:tcW w:type="dxa" w:w="2880"/>
          </w:tcPr>
          <w:p>
            <w:r>
              <w:rPr>
                <w:sz w:val="20"/>
              </w:rPr>
              <w:t>69,16,616</w:t>
            </w:r>
          </w:p>
        </w:tc>
        <w:tc>
          <w:tcPr>
            <w:tcW w:type="dxa" w:w="2880"/>
          </w:tcPr>
          <w:p>
            <w:r>
              <w:rPr>
                <w:sz w:val="20"/>
              </w:rPr>
              <w:t>10,153</w:t>
            </w:r>
          </w:p>
        </w:tc>
      </w:tr>
      <w:tr>
        <w:tc>
          <w:tcPr>
            <w:tcW w:type="dxa" w:w="2880"/>
          </w:tcPr>
          <w:p>
            <w:r>
              <w:rPr>
                <w:sz w:val="20"/>
              </w:rPr>
              <w:t>Uttar Pradesh</w:t>
            </w:r>
          </w:p>
        </w:tc>
        <w:tc>
          <w:tcPr>
            <w:tcW w:type="dxa" w:w="2880"/>
          </w:tcPr>
          <w:p>
            <w:r>
              <w:rPr>
                <w:sz w:val="20"/>
              </w:rPr>
              <w:t>68,16,642</w:t>
            </w:r>
          </w:p>
        </w:tc>
        <w:tc>
          <w:tcPr>
            <w:tcW w:type="dxa" w:w="2880"/>
          </w:tcPr>
          <w:p>
            <w:r>
              <w:rPr>
                <w:sz w:val="20"/>
              </w:rPr>
              <w:t>9,826</w:t>
            </w:r>
          </w:p>
        </w:tc>
      </w:tr>
      <w:tr>
        <w:tc>
          <w:tcPr>
            <w:tcW w:type="dxa" w:w="2880"/>
          </w:tcPr>
          <w:p>
            <w:r>
              <w:rPr>
                <w:sz w:val="20"/>
              </w:rPr>
              <w:t>Tamil Nadu</w:t>
            </w:r>
          </w:p>
        </w:tc>
        <w:tc>
          <w:tcPr>
            <w:tcW w:type="dxa" w:w="2880"/>
          </w:tcPr>
          <w:p>
            <w:r>
              <w:rPr>
                <w:sz w:val="20"/>
              </w:rPr>
              <w:t>65,15,650</w:t>
            </w:r>
          </w:p>
        </w:tc>
        <w:tc>
          <w:tcPr>
            <w:tcW w:type="dxa" w:w="2880"/>
          </w:tcPr>
          <w:p>
            <w:r>
              <w:rPr>
                <w:sz w:val="20"/>
              </w:rPr>
              <w:t>9,858</w:t>
            </w:r>
          </w:p>
        </w:tc>
      </w:tr>
    </w:tbl>
    <w:p/>
    <w:p>
      <w:pPr>
        <w:spacing w:after="160"/>
      </w:pPr>
      <w:r>
        <w:rPr>
          <w:sz w:val="22"/>
        </w:rPr>
        <w:t>Finding: Maharashtra and Karnataka are the dominant markets, accounting for ~27% of total revenue combined. Southern and western India lead in purchasing activity.</w:t>
      </w:r>
    </w:p>
    <w:p>
      <w:pPr>
        <w:pStyle w:val="Heading2"/>
      </w:pPr>
      <w:r>
        <w:rPr>
          <w:b/>
          <w:sz w:val="26"/>
        </w:rPr>
        <w:t>5.5 Order Status &amp; Fulfilment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b/>
                <w:sz w:val="20"/>
              </w:rPr>
              <w:t>Metric</w:t>
            </w:r>
          </w:p>
        </w:tc>
        <w:tc>
          <w:tcPr>
            <w:tcW w:type="dxa" w:w="2880"/>
          </w:tcPr>
          <w:p>
            <w:pPr>
              <w:spacing w:after="40"/>
            </w:pPr>
            <w:r>
              <w:rPr>
                <w:b/>
                <w:sz w:val="20"/>
              </w:rPr>
              <w:t>Count</w:t>
            </w:r>
          </w:p>
        </w:tc>
        <w:tc>
          <w:tcPr>
            <w:tcW w:type="dxa" w:w="2880"/>
          </w:tcPr>
          <w:p>
            <w:pPr>
              <w:spacing w:after="40"/>
            </w:pPr>
            <w:r>
              <w:rPr>
                <w:b/>
                <w:sz w:val="20"/>
              </w:rPr>
              <w:t>Percentage</w:t>
            </w:r>
          </w:p>
        </w:tc>
      </w:tr>
      <w:tr>
        <w:tc>
          <w:tcPr>
            <w:tcW w:type="dxa" w:w="2880"/>
          </w:tcPr>
          <w:p>
            <w:r>
              <w:rPr>
                <w:sz w:val="20"/>
              </w:rPr>
              <w:t>Shipped (in transit)</w:t>
            </w:r>
          </w:p>
        </w:tc>
        <w:tc>
          <w:tcPr>
            <w:tcW w:type="dxa" w:w="2880"/>
          </w:tcPr>
          <w:p>
            <w:r>
              <w:rPr>
                <w:sz w:val="20"/>
              </w:rPr>
              <w:t>76,078</w:t>
            </w:r>
          </w:p>
        </w:tc>
        <w:tc>
          <w:tcPr>
            <w:tcW w:type="dxa" w:w="2880"/>
          </w:tcPr>
          <w:p>
            <w:r>
              <w:rPr>
                <w:sz w:val="20"/>
              </w:rPr>
              <w:t>64.1%</w:t>
            </w:r>
          </w:p>
        </w:tc>
      </w:tr>
      <w:tr>
        <w:tc>
          <w:tcPr>
            <w:tcW w:type="dxa" w:w="2880"/>
          </w:tcPr>
          <w:p>
            <w:r>
              <w:rPr>
                <w:sz w:val="20"/>
              </w:rPr>
              <w:t>Shipped - Delivered</w:t>
            </w:r>
          </w:p>
        </w:tc>
        <w:tc>
          <w:tcPr>
            <w:tcW w:type="dxa" w:w="2880"/>
          </w:tcPr>
          <w:p>
            <w:r>
              <w:rPr>
                <w:sz w:val="20"/>
              </w:rPr>
              <w:t>28,045</w:t>
            </w:r>
          </w:p>
        </w:tc>
        <w:tc>
          <w:tcPr>
            <w:tcW w:type="dxa" w:w="2880"/>
          </w:tcPr>
          <w:p>
            <w:r>
              <w:rPr>
                <w:sz w:val="20"/>
              </w:rPr>
              <w:t>23.6%</w:t>
            </w:r>
          </w:p>
        </w:tc>
      </w:tr>
      <w:tr>
        <w:tc>
          <w:tcPr>
            <w:tcW w:type="dxa" w:w="2880"/>
          </w:tcPr>
          <w:p>
            <w:r>
              <w:rPr>
                <w:sz w:val="20"/>
              </w:rPr>
              <w:t>Cancelled</w:t>
            </w:r>
          </w:p>
        </w:tc>
        <w:tc>
          <w:tcPr>
            <w:tcW w:type="dxa" w:w="2880"/>
          </w:tcPr>
          <w:p>
            <w:r>
              <w:rPr>
                <w:sz w:val="20"/>
              </w:rPr>
              <w:t>10,766</w:t>
            </w:r>
          </w:p>
        </w:tc>
        <w:tc>
          <w:tcPr>
            <w:tcW w:type="dxa" w:w="2880"/>
          </w:tcPr>
          <w:p>
            <w:r>
              <w:rPr>
                <w:sz w:val="20"/>
              </w:rPr>
              <w:t>9.1%</w:t>
            </w:r>
          </w:p>
        </w:tc>
      </w:tr>
      <w:tr>
        <w:tc>
          <w:tcPr>
            <w:tcW w:type="dxa" w:w="2880"/>
          </w:tcPr>
          <w:p>
            <w:r>
              <w:rPr>
                <w:sz w:val="20"/>
              </w:rPr>
              <w:t>Amazon Fulfilled</w:t>
            </w:r>
          </w:p>
        </w:tc>
        <w:tc>
          <w:tcPr>
            <w:tcW w:type="dxa" w:w="2880"/>
          </w:tcPr>
          <w:p>
            <w:r>
              <w:rPr>
                <w:sz w:val="20"/>
              </w:rPr>
              <w:t>82,112</w:t>
            </w:r>
          </w:p>
        </w:tc>
        <w:tc>
          <w:tcPr>
            <w:tcW w:type="dxa" w:w="2880"/>
          </w:tcPr>
          <w:p>
            <w:r>
              <w:rPr>
                <w:sz w:val="20"/>
              </w:rPr>
              <w:t>69.1%</w:t>
            </w:r>
          </w:p>
        </w:tc>
      </w:tr>
      <w:tr>
        <w:tc>
          <w:tcPr>
            <w:tcW w:type="dxa" w:w="2880"/>
          </w:tcPr>
          <w:p>
            <w:r>
              <w:rPr>
                <w:sz w:val="20"/>
              </w:rPr>
              <w:t>Merchant Fulfilled</w:t>
            </w:r>
          </w:p>
        </w:tc>
        <w:tc>
          <w:tcPr>
            <w:tcW w:type="dxa" w:w="2880"/>
          </w:tcPr>
          <w:p>
            <w:r>
              <w:rPr>
                <w:sz w:val="20"/>
              </w:rPr>
              <w:t>36,725</w:t>
            </w:r>
          </w:p>
        </w:tc>
        <w:tc>
          <w:tcPr>
            <w:tcW w:type="dxa" w:w="2880"/>
          </w:tcPr>
          <w:p>
            <w:r>
              <w:rPr>
                <w:sz w:val="20"/>
              </w:rPr>
              <w:t>30.9%</w:t>
            </w:r>
          </w:p>
        </w:tc>
      </w:tr>
    </w:tbl>
    <w:p/>
    <w:p>
      <w:pPr>
        <w:spacing w:after="240"/>
      </w:pPr>
      <w:r>
        <w:rPr>
          <w:sz w:val="22"/>
        </w:rPr>
        <w:t>Finding: The 9.1% cancellation rate is significant. Even a 2% reduction in cancellations would recover approximately Rs. 1.4M in revenue. Amazon fulfilment dominates at 69.1%.</w:t>
      </w:r>
    </w:p>
    <w:p>
      <w:pPr>
        <w:pStyle w:val="Heading1"/>
      </w:pPr>
      <w:r>
        <w:rPr>
          <w:b/>
          <w:sz w:val="32"/>
        </w:rPr>
        <w:t>6. SQL Analysis Summary</w:t>
      </w:r>
    </w:p>
    <w:p>
      <w:pPr>
        <w:spacing w:after="160"/>
      </w:pPr>
      <w:r>
        <w:rPr>
          <w:sz w:val="22"/>
        </w:rPr>
        <w:t>Ten SQL queries were executed using an in-memory SQLite database populated with the cleaned Pandas DataFrame. The queries addressed the following business questions:</w:t>
      </w:r>
    </w:p>
    <w:p>
      <w:pPr>
        <w:pStyle w:val="ListBullet"/>
        <w:spacing w:after="60"/>
      </w:pPr>
      <w:r>
        <w:rPr>
          <w:sz w:val="22"/>
        </w:rPr>
        <w:t>Q1: Overall business summary (total revenue, orders, AOV, units, SKUs, states)</w:t>
      </w:r>
    </w:p>
    <w:p>
      <w:pPr>
        <w:pStyle w:val="ListBullet"/>
        <w:spacing w:after="60"/>
      </w:pPr>
      <w:r>
        <w:rPr>
          <w:sz w:val="22"/>
        </w:rPr>
        <w:t>Q2: Revenue and order count broken down by product category</w:t>
      </w:r>
    </w:p>
    <w:p>
      <w:pPr>
        <w:pStyle w:val="ListBullet"/>
        <w:spacing w:after="60"/>
      </w:pPr>
      <w:r>
        <w:rPr>
          <w:sz w:val="22"/>
        </w:rPr>
        <w:t>Q3: Monthly revenue trend with order count and average order value</w:t>
      </w:r>
    </w:p>
    <w:p>
      <w:pPr>
        <w:pStyle w:val="ListBullet"/>
        <w:spacing w:after="60"/>
      </w:pPr>
      <w:r>
        <w:rPr>
          <w:sz w:val="22"/>
        </w:rPr>
        <w:t>Q4: Top 10 Indian states ranked by total revenue</w:t>
      </w:r>
    </w:p>
    <w:p>
      <w:pPr>
        <w:pStyle w:val="ListBullet"/>
        <w:spacing w:after="60"/>
      </w:pPr>
      <w:r>
        <w:rPr>
          <w:sz w:val="22"/>
        </w:rPr>
        <w:t>Q5: Order status distribution with percentage breakdown</w:t>
      </w:r>
    </w:p>
    <w:p>
      <w:pPr>
        <w:pStyle w:val="ListBullet"/>
        <w:spacing w:after="60"/>
      </w:pPr>
      <w:r>
        <w:rPr>
          <w:sz w:val="22"/>
        </w:rPr>
        <w:t>Q6: Fulfilment type performance including cancellation count per type</w:t>
      </w:r>
    </w:p>
    <w:p>
      <w:pPr>
        <w:pStyle w:val="ListBullet"/>
        <w:spacing w:after="60"/>
      </w:pPr>
      <w:r>
        <w:rPr>
          <w:sz w:val="22"/>
        </w:rPr>
        <w:t>Q7: B2B vs B2C customer comparison on revenue and average order value</w:t>
      </w:r>
    </w:p>
    <w:p>
      <w:pPr>
        <w:pStyle w:val="ListBullet"/>
        <w:spacing w:after="60"/>
      </w:pPr>
      <w:r>
        <w:rPr>
          <w:sz w:val="22"/>
        </w:rPr>
        <w:t>Q8: Top 10 revenue-generating SKUs with category and quantity information</w:t>
      </w:r>
    </w:p>
    <w:p>
      <w:pPr>
        <w:pStyle w:val="ListBullet"/>
        <w:spacing w:after="60"/>
      </w:pPr>
      <w:r>
        <w:rPr>
          <w:sz w:val="22"/>
        </w:rPr>
        <w:t>Q9: Shipping service level comparison (Expedited vs Standard)</w:t>
      </w:r>
    </w:p>
    <w:p>
      <w:pPr>
        <w:pStyle w:val="ListBullet"/>
        <w:spacing w:after="60"/>
      </w:pPr>
      <w:r>
        <w:rPr>
          <w:sz w:val="22"/>
        </w:rPr>
        <w:t>Q10: Top 5 cities within Maharashtra by order volume</w:t>
      </w:r>
    </w:p>
    <w:p/>
    <w:p>
      <w:pPr>
        <w:pStyle w:val="Heading1"/>
      </w:pPr>
      <w:r>
        <w:rPr>
          <w:b/>
          <w:sz w:val="32"/>
        </w:rPr>
        <w:t>7. Visualisations Produced</w:t>
      </w:r>
    </w:p>
    <w:p>
      <w:pPr>
        <w:spacing w:after="160"/>
      </w:pPr>
      <w:r>
        <w:rPr>
          <w:sz w:val="22"/>
        </w:rPr>
        <w:t>The following charts were generated and saved as PNG files in the project folder:</w:t>
      </w:r>
    </w:p>
    <w:p>
      <w:pPr>
        <w:pStyle w:val="ListBullet"/>
        <w:spacing w:after="60"/>
      </w:pPr>
      <w:r>
        <w:rPr>
          <w:sz w:val="22"/>
        </w:rPr>
        <w:t>plot_amount_distribution.png — Histogram and box plot of order amount distribution</w:t>
      </w:r>
    </w:p>
    <w:p>
      <w:pPr>
        <w:pStyle w:val="ListBullet"/>
        <w:spacing w:after="60"/>
      </w:pPr>
      <w:r>
        <w:rPr>
          <w:sz w:val="22"/>
        </w:rPr>
        <w:t>plot_monthly_sales.png — Dual-axis chart: revenue bars and order count line per month</w:t>
      </w:r>
    </w:p>
    <w:p>
      <w:pPr>
        <w:pStyle w:val="ListBullet"/>
        <w:spacing w:after="60"/>
      </w:pPr>
      <w:r>
        <w:rPr>
          <w:sz w:val="22"/>
        </w:rPr>
        <w:t>plot_b2b_b2c.png — Pie charts comparing B2B and B2C on revenue and order share</w:t>
      </w:r>
    </w:p>
    <w:p>
      <w:pPr>
        <w:pStyle w:val="ListBullet"/>
        <w:spacing w:after="60"/>
      </w:pPr>
      <w:r>
        <w:rPr>
          <w:sz w:val="22"/>
        </w:rPr>
        <w:t>plot_category_analysis.png — Three bar charts: category revenue, order count, units sold</w:t>
      </w:r>
    </w:p>
    <w:p>
      <w:pPr>
        <w:pStyle w:val="ListBullet"/>
        <w:spacing w:after="60"/>
      </w:pPr>
      <w:r>
        <w:rPr>
          <w:sz w:val="22"/>
        </w:rPr>
        <w:t>plot_top_sku.png — Horizontal bar chart of top 10 SKUs by revenue</w:t>
      </w:r>
    </w:p>
    <w:p>
      <w:pPr>
        <w:pStyle w:val="ListBullet"/>
        <w:spacing w:after="60"/>
      </w:pPr>
      <w:r>
        <w:rPr>
          <w:sz w:val="22"/>
        </w:rPr>
        <w:t>plot_size_revenue.png — Bar chart of revenue broken down by clothing size</w:t>
      </w:r>
    </w:p>
    <w:p>
      <w:pPr>
        <w:pStyle w:val="ListBullet"/>
        <w:spacing w:after="60"/>
      </w:pPr>
      <w:r>
        <w:rPr>
          <w:sz w:val="22"/>
        </w:rPr>
        <w:t>plot_state_analysis.png — Top 10 states ranked by revenue and by order count</w:t>
      </w:r>
    </w:p>
    <w:p>
      <w:pPr>
        <w:pStyle w:val="ListBullet"/>
        <w:spacing w:after="60"/>
      </w:pPr>
      <w:r>
        <w:rPr>
          <w:sz w:val="22"/>
        </w:rPr>
        <w:t>plot_city_analysis.png — Top 10 cities by revenue</w:t>
      </w:r>
    </w:p>
    <w:p>
      <w:pPr>
        <w:pStyle w:val="ListBullet"/>
        <w:spacing w:after="60"/>
      </w:pPr>
      <w:r>
        <w:rPr>
          <w:sz w:val="22"/>
        </w:rPr>
        <w:t>plot_order_status.png — Bar chart and pie chart of order status distribution</w:t>
      </w:r>
    </w:p>
    <w:p>
      <w:pPr>
        <w:pStyle w:val="ListBullet"/>
        <w:spacing w:after="60"/>
      </w:pPr>
      <w:r>
        <w:rPr>
          <w:sz w:val="22"/>
        </w:rPr>
        <w:t>plot_fulfilment.png — Pie charts comparing Amazon vs Merchant fulfilment</w:t>
      </w:r>
    </w:p>
    <w:p>
      <w:pPr>
        <w:pStyle w:val="ListBullet"/>
        <w:spacing w:after="60"/>
      </w:pPr>
      <w:r>
        <w:rPr>
          <w:sz w:val="22"/>
        </w:rPr>
        <w:t>plot_service_level.png — Revenue comparison: Expedited vs Standard shipping</w:t>
      </w:r>
    </w:p>
    <w:p>
      <w:pPr>
        <w:pStyle w:val="ListBullet"/>
        <w:spacing w:after="60"/>
      </w:pPr>
      <w:r>
        <w:rPr>
          <w:sz w:val="22"/>
        </w:rPr>
        <w:t>plot_promotions.png — Promotion impact on order share and average order value</w:t>
      </w:r>
    </w:p>
    <w:p>
      <w:pPr>
        <w:pStyle w:val="ListBullet"/>
        <w:spacing w:after="60"/>
      </w:pPr>
      <w:r>
        <w:rPr>
          <w:sz w:val="22"/>
        </w:rPr>
        <w:t>plot_heatmap_cat_month.png — Heatmap of category revenue by month</w:t>
      </w:r>
    </w:p>
    <w:p>
      <w:pPr>
        <w:pStyle w:val="ListBullet"/>
        <w:spacing w:after="60"/>
      </w:pPr>
      <w:r>
        <w:rPr>
          <w:sz w:val="22"/>
        </w:rPr>
        <w:t>plot_courier_fulfilment.png — Stacked bar chart: Courier Status vs Fulfilment Type</w:t>
      </w:r>
    </w:p>
    <w:p>
      <w:pPr>
        <w:pStyle w:val="ListBullet"/>
        <w:spacing w:after="60"/>
      </w:pPr>
      <w:r>
        <w:rPr>
          <w:sz w:val="22"/>
        </w:rPr>
        <w:t>plot_correlation.png — Correlation heatmap of numerical features</w:t>
      </w:r>
    </w:p>
    <w:p/>
    <w:p>
      <w:pPr>
        <w:pStyle w:val="Heading1"/>
      </w:pPr>
      <w:r>
        <w:rPr>
          <w:b/>
          <w:sz w:val="32"/>
        </w:rPr>
        <w:t>8. AI-Assisted Business Insights</w:t>
      </w:r>
    </w:p>
    <w:p>
      <w:pPr>
        <w:spacing w:after="160"/>
      </w:pPr>
      <w:r>
        <w:rPr>
          <w:sz w:val="22"/>
        </w:rPr>
        <w:t>IBM Bob, an AI development assistant, was used throughout the project for code generation, analysis structuring, and insight review. No paid external API is required. The following insights were derived programmatically from actual data results:</w:t>
      </w:r>
    </w:p>
    <w:p>
      <w:pPr>
        <w:pStyle w:val="ListBullet"/>
        <w:spacing w:after="60"/>
      </w:pPr>
      <w:r>
        <w:rPr>
          <w:sz w:val="22"/>
        </w:rPr>
        <w:t>Revenue &amp; Scale: Rs. 7.86 Crores generated across 1,10,687 orders. AOV of Rs. 661 suggests mid-market positioning. Bundling and upselling can lift this number.</w:t>
      </w:r>
    </w:p>
    <w:p>
      <w:pPr>
        <w:pStyle w:val="ListBullet"/>
        <w:spacing w:after="60"/>
      </w:pPr>
      <w:r>
        <w:rPr>
          <w:sz w:val="22"/>
        </w:rPr>
        <w:t>Category Concentration Risk: Set and Kurta drive 77% of revenue. This heavy dependency is a business risk — diversification into Western Dress and Ethnic Dress is recommended.</w:t>
      </w:r>
    </w:p>
    <w:p>
      <w:pPr>
        <w:pStyle w:val="ListBullet"/>
        <w:spacing w:after="60"/>
      </w:pPr>
      <w:r>
        <w:rPr>
          <w:sz w:val="22"/>
        </w:rPr>
        <w:t>Geographical Concentration: Top 3 states drive ~40% of revenue. Tier-2/3 cities remain underpenetrated — targeted promotions can expand reach.</w:t>
      </w:r>
    </w:p>
    <w:p>
      <w:pPr>
        <w:pStyle w:val="ListBullet"/>
        <w:spacing w:after="60"/>
      </w:pPr>
      <w:r>
        <w:rPr>
          <w:sz w:val="22"/>
        </w:rPr>
        <w:t>Cancellation Concern: 9.1% cancellation rate. Even a 2% reduction could recover Rs. 1.4M. Root causes — sizing issues, delivery expectations, return policies — should be investigated.</w:t>
      </w:r>
    </w:p>
    <w:p>
      <w:pPr>
        <w:pStyle w:val="ListBullet"/>
        <w:spacing w:after="60"/>
      </w:pPr>
      <w:r>
        <w:rPr>
          <w:sz w:val="22"/>
        </w:rPr>
        <w:t>Fulfilment Efficiency: 69.1% Amazon-fulfilled. Merchant-fulfilled orders should be monitored for delivery quality.</w:t>
      </w:r>
    </w:p>
    <w:p>
      <w:pPr>
        <w:pStyle w:val="ListBullet"/>
        <w:spacing w:after="60"/>
      </w:pPr>
      <w:r>
        <w:rPr>
          <w:sz w:val="22"/>
        </w:rPr>
        <w:t>Promotion Effectiveness: Promoted orders show higher average order value than non-promoted ones, confirming that promotions drive upsell behaviour.</w:t>
      </w:r>
    </w:p>
    <w:p>
      <w:pPr>
        <w:pStyle w:val="ListBullet"/>
        <w:spacing w:after="60"/>
      </w:pPr>
      <w:r>
        <w:rPr>
          <w:sz w:val="22"/>
        </w:rPr>
        <w:t>B2B Opportunity: B2B contributes less than 1% of revenue. A dedicated bulk-pricing and B2B outreach programme could unlock significant incremental revenue.</w:t>
      </w:r>
    </w:p>
    <w:p>
      <w:pPr>
        <w:pStyle w:val="ListBullet"/>
        <w:spacing w:after="60"/>
      </w:pPr>
      <w:r>
        <w:rPr>
          <w:sz w:val="22"/>
        </w:rPr>
        <w:t>Expedited Shipping Demand: Over 69% of orders use Expedited shipping. Consistent Expedited availability is critical for customer satisfaction.</w:t>
      </w:r>
    </w:p>
    <w:p>
      <w:pPr>
        <w:pStyle w:val="ListBullet"/>
        <w:spacing w:after="60"/>
      </w:pPr>
      <w:r>
        <w:rPr>
          <w:sz w:val="22"/>
        </w:rPr>
        <w:t>Seasonal Peak: Sales peaked in April 2022. Businesses should prepare inventory and promotions ahead of this seasonal window.</w:t>
      </w:r>
    </w:p>
    <w:p>
      <w:pPr>
        <w:pStyle w:val="ListBullet"/>
        <w:spacing w:after="60"/>
      </w:pPr>
      <w:r>
        <w:rPr>
          <w:sz w:val="22"/>
        </w:rPr>
        <w:t>Size Inclusivity Gap: Extended sizes (4XL, 5XL, 6XL) have very low coverage. Expanding size-inclusive inventory can capture underserved customers.</w:t>
      </w:r>
    </w:p>
    <w:p/>
    <w:p>
      <w:pPr>
        <w:pStyle w:val="Heading1"/>
      </w:pPr>
      <w:r>
        <w:rPr>
          <w:b/>
          <w:sz w:val="32"/>
        </w:rPr>
        <w:t>9. Streamlit Dashboard</w:t>
      </w:r>
    </w:p>
    <w:p>
      <w:pPr>
        <w:spacing w:after="160"/>
      </w:pPr>
      <w:r>
        <w:rPr>
          <w:sz w:val="22"/>
        </w:rPr>
        <w:t>An interactive Streamlit dashboard (app.py) was built to allow non-technical users to explore the data.</w:t>
      </w:r>
    </w:p>
    <w:p>
      <w:pPr>
        <w:pStyle w:val="ListBullet"/>
        <w:spacing w:after="60"/>
      </w:pPr>
      <w:r>
        <w:rPr>
          <w:sz w:val="22"/>
        </w:rPr>
        <w:t>Sidebar with filters for Month, Category, and Fulfilment Type</w:t>
      </w:r>
    </w:p>
    <w:p>
      <w:pPr>
        <w:pStyle w:val="ListBullet"/>
        <w:spacing w:after="60"/>
      </w:pPr>
      <w:r>
        <w:rPr>
          <w:sz w:val="22"/>
        </w:rPr>
        <w:t>Five KPI metrics at the top: Revenue, Orders, AOV, Units, Cancellation Rate</w:t>
      </w:r>
    </w:p>
    <w:p>
      <w:pPr>
        <w:pStyle w:val="ListBullet"/>
        <w:spacing w:after="60"/>
      </w:pPr>
      <w:r>
        <w:rPr>
          <w:sz w:val="22"/>
        </w:rPr>
        <w:t>Six navigation tabs: Sales Trend, Category Analysis, Geography, Orders &amp; Fulfilment, SQL Queries, Business Insights</w:t>
      </w:r>
    </w:p>
    <w:p>
      <w:pPr>
        <w:pStyle w:val="ListBullet"/>
        <w:spacing w:after="60"/>
      </w:pPr>
      <w:r>
        <w:rPr>
          <w:sz w:val="22"/>
        </w:rPr>
        <w:t>Interactive SQL tab: users can select and execute any of the 10 queries and view live results</w:t>
      </w:r>
    </w:p>
    <w:p>
      <w:pPr>
        <w:spacing w:after="240"/>
      </w:pPr>
      <w:r>
        <w:rPr>
          <w:sz w:val="22"/>
        </w:rPr>
        <w:t>To run the dashboard: streamlit run app.py</w:t>
      </w:r>
    </w:p>
    <w:p>
      <w:pPr>
        <w:pStyle w:val="Heading1"/>
      </w:pPr>
      <w:r>
        <w:rPr>
          <w:b/>
          <w:sz w:val="32"/>
        </w:rPr>
        <w:t>10. Limitations</w:t>
      </w:r>
    </w:p>
    <w:p>
      <w:pPr>
        <w:pStyle w:val="ListBullet"/>
        <w:spacing w:after="60"/>
      </w:pPr>
      <w:r>
        <w:rPr>
          <w:sz w:val="22"/>
        </w:rPr>
        <w:t>The dataset covers only March-June 2022 (approximately 3 months). Seasonal trends and year-over-year comparisons cannot be made.</w:t>
      </w:r>
    </w:p>
    <w:p>
      <w:pPr>
        <w:pStyle w:val="ListBullet"/>
        <w:spacing w:after="60"/>
      </w:pPr>
      <w:r>
        <w:rPr>
          <w:sz w:val="22"/>
        </w:rPr>
        <w:t>89,698 rows had null values in fulfilled-by. This is expected: Amazon-fulfilled orders do not use Easy Ship. The Fulfilment column was used as the primary fulfilment indicator.</w:t>
      </w:r>
    </w:p>
    <w:p>
      <w:pPr>
        <w:pStyle w:val="ListBullet"/>
        <w:spacing w:after="60"/>
      </w:pPr>
      <w:r>
        <w:rPr>
          <w:sz w:val="22"/>
        </w:rPr>
        <w:t>The promotion-ids column had 49,153 null values. The binary Has_Promotion flag was derived from this, but actual promotional discount amounts are not available.</w:t>
      </w:r>
    </w:p>
    <w:p>
      <w:pPr>
        <w:pStyle w:val="ListBullet"/>
        <w:spacing w:after="60"/>
      </w:pPr>
      <w:r>
        <w:rPr>
          <w:sz w:val="22"/>
        </w:rPr>
        <w:t>No customer demographic data is available, limiting customer segmentation analysis.</w:t>
      </w:r>
    </w:p>
    <w:p>
      <w:pPr>
        <w:pStyle w:val="ListBullet"/>
        <w:spacing w:after="60"/>
      </w:pPr>
      <w:r>
        <w:rPr>
          <w:sz w:val="22"/>
        </w:rPr>
        <w:t>Profit margins are not present in the dataset. Revenue analysis does not reflect profitability.</w:t>
      </w:r>
    </w:p>
    <w:p/>
    <w:p>
      <w:pPr>
        <w:pStyle w:val="Heading1"/>
      </w:pPr>
      <w:r>
        <w:rPr>
          <w:b/>
          <w:sz w:val="32"/>
        </w:rPr>
        <w:t>11. Conclusion</w:t>
      </w:r>
    </w:p>
    <w:p>
      <w:pPr>
        <w:spacing w:after="160"/>
      </w:pPr>
      <w:r>
        <w:rPr>
          <w:sz w:val="22"/>
        </w:rPr>
        <w:t>This project successfully demonstrates a complete data analytics pipeline on a real-world e-commerce dataset. Starting from raw, messy CSV data, the project delivered a cleaned dataset, comprehensive EDA, SQL-based analysis, professional visualisations, AI-assisted insights, and an interactive Streamlit dashboard — using only open-source Python tools.</w:t>
      </w:r>
    </w:p>
    <w:p>
      <w:pPr>
        <w:spacing w:after="160"/>
      </w:pPr>
      <w:r>
        <w:rPr>
          <w:sz w:val="22"/>
        </w:rPr>
        <w:t>The analysis revealed that Amazon India's apparel sales were heavily concentrated in two product categories (Set and Kurta) and in the western and southern states of India. The 9.1% cancellation rate and strong preference for Expedited shipping are key operational findings that translate directly into actionable business recommendations.</w:t>
      </w:r>
    </w:p>
    <w:p>
      <w:pPr>
        <w:spacing w:after="240"/>
      </w:pPr>
      <w:r>
        <w:rPr>
          <w:sz w:val="22"/>
        </w:rPr>
        <w:t>IBM Bob was used as an AI development assistant throughout the project — for code generation, structuring analysis logic, and reviewing findings — demonstrating how AI tools can accelerate and enhance the work of data analysts.</w:t>
      </w:r>
    </w:p>
    <w:p>
      <w:pPr>
        <w:pStyle w:val="Heading1"/>
      </w:pPr>
      <w:r>
        <w:rPr>
          <w:b/>
          <w:sz w:val="32"/>
        </w:rPr>
        <w:t>12. References</w:t>
      </w:r>
    </w:p>
    <w:p>
      <w:pPr>
        <w:spacing w:after="80"/>
      </w:pPr>
      <w:r>
        <w:rPr>
          <w:sz w:val="20"/>
        </w:rPr>
        <w:t>1. Dataset: Amazon Sales Report — Kaggle. https://www.kaggle.com/datasets/thedevastator/unlock-profits-with-e-commerce-sales-data</w:t>
      </w:r>
    </w:p>
    <w:p>
      <w:pPr>
        <w:spacing w:after="80"/>
      </w:pPr>
      <w:r>
        <w:rPr>
          <w:sz w:val="20"/>
        </w:rPr>
        <w:t>2. Python Documentation: https://docs.python.org</w:t>
      </w:r>
    </w:p>
    <w:p>
      <w:pPr>
        <w:spacing w:after="80"/>
      </w:pPr>
      <w:r>
        <w:rPr>
          <w:sz w:val="20"/>
        </w:rPr>
        <w:t>3. Pandas Documentation: https://pandas.pydata.org/docs</w:t>
      </w:r>
    </w:p>
    <w:p>
      <w:pPr>
        <w:spacing w:after="80"/>
      </w:pPr>
      <w:r>
        <w:rPr>
          <w:sz w:val="20"/>
        </w:rPr>
        <w:t>4. Streamlit Documentation: https://docs.streamlit.io</w:t>
      </w:r>
    </w:p>
    <w:p>
      <w:pPr>
        <w:spacing w:after="80"/>
      </w:pPr>
      <w:r>
        <w:rPr>
          <w:sz w:val="20"/>
        </w:rPr>
        <w:t>5. Seaborn Documentation: https://seaborn.pydata.org</w:t>
      </w:r>
    </w:p>
    <w:p>
      <w:pPr>
        <w:spacing w:after="80"/>
      </w:pPr>
      <w:r>
        <w:rPr>
          <w:sz w:val="20"/>
        </w:rPr>
        <w:t>6. IBM Bob AI Assistant: https://www.ibm.com/products/bob</w:t>
      </w:r>
    </w:p>
    <w:p>
      <w:pPr>
        <w:spacing w:after="80"/>
      </w:pPr>
      <w:r>
        <w:rPr>
          <w:sz w:val="20"/>
        </w:rPr>
        <w:t>7. IBM SkillsBuild: https://skillsbuild.org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