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r>
    </w:p>
    <w:p>
      <w:pPr>
        <w:spacing w:after="200"/>
      </w:pPr>
      <w:r>
        <w:t xml:space="preserve"/>
      </w:r>
    </w:p>
    <w:p>
      <w:pPr>
        <w:jc w:val="center"/>
      </w:pPr>
      <w:r>
        <w:drawing>
          <wp:inline distT="0" distB="0" distL="0" distR="0">
            <wp:extent cx="3714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714750" cy="1428750"/>
                    </a:xfrm>
                    <a:prstGeom prst="rect">
                      <a:avLst/>
                    </a:prstGeom>
                  </pic:spPr>
                </pic:pic>
              </a:graphicData>
            </a:graphic>
          </wp:inline>
        </w:drawing>
      </w:r>
    </w:p>
    <w:p>
      <w:pPr>
        <w:spacing w:after="600"/>
      </w:pPr>
      <w:r>
        <w:t xml:space="preserve"/>
      </w:r>
    </w:p>
    <w:p>
      <w:pPr>
        <w:spacing w:after="600"/>
      </w:pPr>
      <w:r>
        <w:t xml:space="preserve"/>
      </w:r>
    </w:p>
    <w:p>
      <w:pPr>
        <w:spacing w:after="300"/>
        <w:jc w:val="center"/>
      </w:pPr>
      <w:r>
        <w:rPr>
          <w:rFonts w:ascii="Calibri" w:cs="Calibri" w:eastAsia="Calibri" w:hAnsi="Calibri"/>
          <w:b/>
          <w:bCs/>
          <w:sz w:val="32"/>
          <w:szCs w:val="32"/>
        </w:rPr>
        <w:t xml:space="preserve">ASSIGNMENT-2</w:t>
      </w:r>
    </w:p>
    <w:p>
      <w:pPr>
        <w:spacing w:after="150"/>
        <w:jc w:val="center"/>
      </w:pPr>
      <w:r>
        <w:rPr>
          <w:rFonts w:ascii="Calibri" w:cs="Calibri" w:eastAsia="Calibri" w:hAnsi="Calibri"/>
          <w:sz w:val="26"/>
          <w:szCs w:val="26"/>
        </w:rPr>
        <w:t xml:space="preserve">Subject : Computer Networks</w:t>
      </w:r>
    </w:p>
    <w:p>
      <w:pPr>
        <w:spacing w:after="800"/>
        <w:jc w:val="center"/>
      </w:pPr>
      <w:r>
        <w:rPr>
          <w:rFonts w:ascii="Calibri" w:cs="Calibri" w:eastAsia="Calibri" w:hAnsi="Calibri"/>
          <w:sz w:val="26"/>
          <w:szCs w:val="26"/>
        </w:rPr>
        <w:t xml:space="preserve">Subject Code: 24CST - 339</w:t>
      </w:r>
    </w:p>
    <w:p>
      <w:pPr>
        <w:spacing w:after="600"/>
      </w:pPr>
      <w:r>
        <w:t xml:space="preserve"/>
      </w:r>
    </w:p>
    <w:p>
      <w:pPr>
        <w:spacing w:after="600"/>
      </w:pPr>
      <w: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pPr>
              <w:spacing w:after="150"/>
            </w:pPr>
            <w:r>
              <w:rPr>
                <w:rFonts w:ascii="Calibri" w:cs="Calibri" w:eastAsia="Calibri" w:hAnsi="Calibri"/>
                <w:sz w:val="24"/>
                <w:szCs w:val="24"/>
              </w:rPr>
              <w:t xml:space="preserve">Submitted by:</w:t>
            </w:r>
          </w:p>
          <w:p>
            <w:pPr>
              <w:spacing w:after="150"/>
            </w:pPr>
            <w:r>
              <w:rPr>
                <w:rFonts w:ascii="Calibri" w:cs="Calibri" w:eastAsia="Calibri" w:hAnsi="Calibri"/>
                <w:sz w:val="24"/>
                <w:szCs w:val="24"/>
              </w:rPr>
              <w:t xml:space="preserve">Name: Sejal</w:t>
            </w:r>
          </w:p>
          <w:p>
            <w:pPr>
              <w:spacing w:after="150"/>
            </w:pPr>
            <w:r>
              <w:rPr>
                <w:rFonts w:ascii="Calibri" w:cs="Calibri" w:eastAsia="Calibri" w:hAnsi="Calibri"/>
                <w:sz w:val="24"/>
                <w:szCs w:val="24"/>
              </w:rPr>
              <w:t xml:space="preserve">UID- 24BAI70050</w:t>
            </w:r>
          </w:p>
          <w:p>
            <w:r>
              <w:rPr>
                <w:rFonts w:ascii="Calibri" w:cs="Calibri" w:eastAsia="Calibri" w:hAnsi="Calibri"/>
                <w:sz w:val="24"/>
                <w:szCs w:val="24"/>
              </w:rPr>
              <w:t xml:space="preserve">Branch/ Section: 24AIT KRG 1-B</w:t>
            </w:r>
          </w:p>
        </w:tc>
        <w:tc>
          <w:tcPr>
            <w:tcW w:type="pct" w:w="50%"/>
          </w:tcPr>
          <w:p>
            <w:pPr>
              <w:spacing w:after="150"/>
            </w:pPr>
            <w:r>
              <w:rPr>
                <w:rFonts w:ascii="Calibri" w:cs="Calibri" w:eastAsia="Calibri" w:hAnsi="Calibri"/>
                <w:sz w:val="24"/>
                <w:szCs w:val="24"/>
              </w:rPr>
              <w:t xml:space="preserve">Submitted to:</w:t>
            </w:r>
          </w:p>
          <w:p>
            <w:r>
              <w:rPr>
                <w:rFonts w:ascii="Calibri" w:cs="Calibri" w:eastAsia="Calibri" w:hAnsi="Calibri"/>
                <w:sz w:val="24"/>
                <w:szCs w:val="24"/>
              </w:rPr>
              <w:t xml:space="preserve">Faculty Name: Alok Kumar</w:t>
            </w:r>
          </w:p>
        </w:tc>
      </w:tr>
    </w:tbl>
    <w:p>
      <w:r>
        <w:br w:type="page"/>
      </w:r>
    </w:p>
    <w:p>
      <w:pPr>
        <w:spacing w:after="120" w:before="200"/>
      </w:pPr>
      <w:r>
        <w:rPr>
          <w:rFonts w:ascii="Calibri" w:cs="Calibri" w:eastAsia="Calibri" w:hAnsi="Calibri"/>
          <w:b/>
          <w:bCs/>
          <w:color w:val="1F3864"/>
          <w:sz w:val="26"/>
          <w:szCs w:val="26"/>
        </w:rPr>
        <w:t xml:space="preserve">Q1. IP Address, IPv4 Classes, Subnetting and Supernetting</w:t>
      </w:r>
    </w:p>
    <w:p>
      <w:pPr>
        <w:spacing w:after="80" w:before="140"/>
      </w:pPr>
      <w:r>
        <w:rPr>
          <w:rFonts w:ascii="Calibri" w:cs="Calibri" w:eastAsia="Calibri" w:hAnsi="Calibri"/>
          <w:b/>
          <w:bCs/>
          <w:color w:val="2E5395"/>
          <w:sz w:val="23"/>
          <w:szCs w:val="23"/>
        </w:rPr>
        <w:t xml:space="preserve">What is an IP Address?</w:t>
      </w:r>
    </w:p>
    <w:p>
      <w:pPr>
        <w:spacing w:after="100" w:line="264"/>
        <w:jc w:val="both"/>
      </w:pPr>
      <w:r>
        <w:rPr>
          <w:rFonts w:ascii="Calibri" w:cs="Calibri" w:eastAsia="Calibri" w:hAnsi="Calibri"/>
          <w:sz w:val="22"/>
          <w:szCs w:val="22"/>
        </w:rPr>
        <w:t xml:space="preserve">An IP (Internet Protocol) address is a unique numerical label assigned to every device connected to a computer network that uses the Internet Protocol for communication. It serves two main purposes: identifying the host or network interface, and providing the location address of that device so that data packets can be routed to it correctly. An IPv4 address is 32 bits long, written as four decimal numbers (0-255) separated by dots, for example 192.168.1.10.</w:t>
      </w:r>
    </w:p>
    <w:p>
      <w:pPr>
        <w:spacing w:after="80" w:before="140"/>
      </w:pPr>
      <w:r>
        <w:rPr>
          <w:rFonts w:ascii="Calibri" w:cs="Calibri" w:eastAsia="Calibri" w:hAnsi="Calibri"/>
          <w:b/>
          <w:bCs/>
          <w:color w:val="2E5395"/>
          <w:sz w:val="23"/>
          <w:szCs w:val="23"/>
        </w:rPr>
        <w:t xml:space="preserve">Why do we need classes in IPv4 addressing?</w:t>
      </w:r>
    </w:p>
    <w:p>
      <w:pPr>
        <w:spacing w:after="100" w:line="264"/>
        <w:jc w:val="both"/>
      </w:pPr>
      <w:r>
        <w:rPr>
          <w:rFonts w:ascii="Calibri" w:cs="Calibri" w:eastAsia="Calibri" w:hAnsi="Calibri"/>
          <w:sz w:val="22"/>
          <w:szCs w:val="22"/>
        </w:rPr>
        <w:t xml:space="preserve">When IPv4 was designed, addresses were divided into classes (A to E) to organize the huge address space efficiently and to allow networks of different sizes to be allocated addresses without wasting them. Classful addressing made it easy for routers to determine, just by looking at the first few bits of an address, how the address was split between the network portion and the host portion, without needing extra configuration information. This allowed organizations of different sizes (very large, medium, or small) to receive an address block matching their needs.</w:t>
      </w:r>
    </w:p>
    <w:p>
      <w:pPr>
        <w:spacing w:after="80" w:before="140"/>
      </w:pPr>
      <w:r>
        <w:rPr>
          <w:rFonts w:ascii="Calibri" w:cs="Calibri" w:eastAsia="Calibri" w:hAnsi="Calibri"/>
          <w:b/>
          <w:bCs/>
          <w:color w:val="2E5395"/>
          <w:sz w:val="23"/>
          <w:szCs w:val="23"/>
        </w:rPr>
        <w:t xml:space="preserve">The Five Classes of IPv4 Addresses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1800"/>
        <w:gridCol w:w="2000"/>
      </w:tblGrid>
      <w:tr>
        <w:tc>
          <w:tcPr>
            <w:tcW w:type="pct" w:w="20%"/>
            <w:shd w:fill="1F3864" w:val="clear"/>
          </w:tcPr>
          <w:p>
            <w:pPr>
              <w:jc w:val="center"/>
            </w:pPr>
            <w:r>
              <w:rPr>
                <w:rFonts w:ascii="Calibri" w:cs="Calibri" w:eastAsia="Calibri" w:hAnsi="Calibri"/>
                <w:b/>
                <w:bCs/>
                <w:color w:val="FFFFFF"/>
                <w:sz w:val="20"/>
                <w:szCs w:val="20"/>
              </w:rPr>
              <w:t xml:space="preserve">Class</w:t>
            </w:r>
          </w:p>
        </w:tc>
        <w:tc>
          <w:tcPr>
            <w:tcW w:type="pct" w:w="20%"/>
            <w:shd w:fill="1F3864" w:val="clear"/>
          </w:tcPr>
          <w:p>
            <w:pPr>
              <w:jc w:val="center"/>
            </w:pPr>
            <w:r>
              <w:rPr>
                <w:rFonts w:ascii="Calibri" w:cs="Calibri" w:eastAsia="Calibri" w:hAnsi="Calibri"/>
                <w:b/>
                <w:bCs/>
                <w:color w:val="FFFFFF"/>
                <w:sz w:val="20"/>
                <w:szCs w:val="20"/>
              </w:rPr>
              <w:t xml:space="preserve">First Octet Range</w:t>
            </w:r>
          </w:p>
        </w:tc>
        <w:tc>
          <w:tcPr>
            <w:tcW w:type="pct" w:w="20%"/>
            <w:shd w:fill="1F3864" w:val="clear"/>
          </w:tcPr>
          <w:p>
            <w:pPr>
              <w:jc w:val="center"/>
            </w:pPr>
            <w:r>
              <w:rPr>
                <w:rFonts w:ascii="Calibri" w:cs="Calibri" w:eastAsia="Calibri" w:hAnsi="Calibri"/>
                <w:b/>
                <w:bCs/>
                <w:color w:val="FFFFFF"/>
                <w:sz w:val="20"/>
                <w:szCs w:val="20"/>
              </w:rPr>
              <w:t xml:space="preserve">Default Mask</w:t>
            </w:r>
          </w:p>
        </w:tc>
        <w:tc>
          <w:tcPr>
            <w:tcW w:type="pct" w:w="20%"/>
            <w:shd w:fill="1F3864" w:val="clear"/>
          </w:tcPr>
          <w:p>
            <w:pPr>
              <w:jc w:val="center"/>
            </w:pPr>
            <w:r>
              <w:rPr>
                <w:rFonts w:ascii="Calibri" w:cs="Calibri" w:eastAsia="Calibri" w:hAnsi="Calibri"/>
                <w:b/>
                <w:bCs/>
                <w:color w:val="FFFFFF"/>
                <w:sz w:val="20"/>
                <w:szCs w:val="20"/>
              </w:rPr>
              <w:t xml:space="preserve">Networks Possible</w:t>
            </w:r>
          </w:p>
        </w:tc>
        <w:tc>
          <w:tcPr>
            <w:tcW w:type="pct" w:w="20%"/>
            <w:shd w:fill="1F3864" w:val="clear"/>
          </w:tcPr>
          <w:p>
            <w:pPr>
              <w:jc w:val="center"/>
            </w:pPr>
            <w:r>
              <w:rPr>
                <w:rFonts w:ascii="Calibri" w:cs="Calibri" w:eastAsia="Calibri" w:hAnsi="Calibri"/>
                <w:b/>
                <w:bCs/>
                <w:color w:val="FFFFFF"/>
                <w:sz w:val="20"/>
                <w:szCs w:val="20"/>
              </w:rPr>
              <w:t xml:space="preserve">Hosts per Network</w:t>
            </w:r>
          </w:p>
        </w:tc>
      </w:tr>
      <w:tr>
        <w:tc>
          <w:tcPr>
            <w:tcW w:type="pct" w:w="20%"/>
          </w:tcPr>
          <w:p>
            <w:pPr>
              <w:jc w:val="center"/>
            </w:pPr>
            <w:r>
              <w:rPr>
                <w:rFonts w:ascii="Calibri" w:cs="Calibri" w:eastAsia="Calibri" w:hAnsi="Calibri"/>
                <w:sz w:val="20"/>
                <w:szCs w:val="20"/>
              </w:rPr>
              <w:t xml:space="preserve">A</w:t>
            </w:r>
          </w:p>
        </w:tc>
        <w:tc>
          <w:tcPr>
            <w:tcW w:type="pct" w:w="20%"/>
          </w:tcPr>
          <w:p>
            <w:pPr>
              <w:jc w:val="center"/>
            </w:pPr>
            <w:r>
              <w:rPr>
                <w:rFonts w:ascii="Calibri" w:cs="Calibri" w:eastAsia="Calibri" w:hAnsi="Calibri"/>
                <w:sz w:val="20"/>
                <w:szCs w:val="20"/>
              </w:rPr>
              <w:t xml:space="preserve">1 – 126</w:t>
            </w:r>
          </w:p>
        </w:tc>
        <w:tc>
          <w:tcPr>
            <w:tcW w:type="pct" w:w="20%"/>
          </w:tcPr>
          <w:p>
            <w:pPr>
              <w:jc w:val="center"/>
            </w:pPr>
            <w:r>
              <w:rPr>
                <w:rFonts w:ascii="Calibri" w:cs="Calibri" w:eastAsia="Calibri" w:hAnsi="Calibri"/>
                <w:sz w:val="20"/>
                <w:szCs w:val="20"/>
              </w:rPr>
              <w:t xml:space="preserve">255.0.0.0 (/8)</w:t>
            </w:r>
          </w:p>
        </w:tc>
        <w:tc>
          <w:tcPr>
            <w:tcW w:type="pct" w:w="20%"/>
          </w:tcPr>
          <w:p>
            <w:pPr>
              <w:jc w:val="center"/>
            </w:pPr>
            <w:r>
              <w:rPr>
                <w:rFonts w:ascii="Calibri" w:cs="Calibri" w:eastAsia="Calibri" w:hAnsi="Calibri"/>
                <w:sz w:val="20"/>
                <w:szCs w:val="20"/>
              </w:rPr>
              <w:t xml:space="preserve">126</w:t>
            </w:r>
          </w:p>
        </w:tc>
        <w:tc>
          <w:tcPr>
            <w:tcW w:type="pct" w:w="20%"/>
          </w:tcPr>
          <w:p>
            <w:pPr>
              <w:jc w:val="center"/>
            </w:pPr>
            <w:r>
              <w:rPr>
                <w:rFonts w:ascii="Calibri" w:cs="Calibri" w:eastAsia="Calibri" w:hAnsi="Calibri"/>
                <w:sz w:val="20"/>
                <w:szCs w:val="20"/>
              </w:rPr>
              <w:t xml:space="preserve">16,777,214</w:t>
            </w:r>
          </w:p>
        </w:tc>
      </w:tr>
      <w:tr>
        <w:tc>
          <w:tcPr>
            <w:tcW w:type="pct" w:w="20%"/>
          </w:tcPr>
          <w:p>
            <w:pPr>
              <w:jc w:val="center"/>
            </w:pPr>
            <w:r>
              <w:rPr>
                <w:rFonts w:ascii="Calibri" w:cs="Calibri" w:eastAsia="Calibri" w:hAnsi="Calibri"/>
                <w:sz w:val="20"/>
                <w:szCs w:val="20"/>
              </w:rPr>
              <w:t xml:space="preserve">B</w:t>
            </w:r>
          </w:p>
        </w:tc>
        <w:tc>
          <w:tcPr>
            <w:tcW w:type="pct" w:w="20%"/>
          </w:tcPr>
          <w:p>
            <w:pPr>
              <w:jc w:val="center"/>
            </w:pPr>
            <w:r>
              <w:rPr>
                <w:rFonts w:ascii="Calibri" w:cs="Calibri" w:eastAsia="Calibri" w:hAnsi="Calibri"/>
                <w:sz w:val="20"/>
                <w:szCs w:val="20"/>
              </w:rPr>
              <w:t xml:space="preserve">128 – 191</w:t>
            </w:r>
          </w:p>
        </w:tc>
        <w:tc>
          <w:tcPr>
            <w:tcW w:type="pct" w:w="20%"/>
          </w:tcPr>
          <w:p>
            <w:pPr>
              <w:jc w:val="center"/>
            </w:pPr>
            <w:r>
              <w:rPr>
                <w:rFonts w:ascii="Calibri" w:cs="Calibri" w:eastAsia="Calibri" w:hAnsi="Calibri"/>
                <w:sz w:val="20"/>
                <w:szCs w:val="20"/>
              </w:rPr>
              <w:t xml:space="preserve">255.255.0.0 (/16)</w:t>
            </w:r>
          </w:p>
        </w:tc>
        <w:tc>
          <w:tcPr>
            <w:tcW w:type="pct" w:w="20%"/>
          </w:tcPr>
          <w:p>
            <w:pPr>
              <w:jc w:val="center"/>
            </w:pPr>
            <w:r>
              <w:rPr>
                <w:rFonts w:ascii="Calibri" w:cs="Calibri" w:eastAsia="Calibri" w:hAnsi="Calibri"/>
                <w:sz w:val="20"/>
                <w:szCs w:val="20"/>
              </w:rPr>
              <w:t xml:space="preserve">16,384</w:t>
            </w:r>
          </w:p>
        </w:tc>
        <w:tc>
          <w:tcPr>
            <w:tcW w:type="pct" w:w="20%"/>
          </w:tcPr>
          <w:p>
            <w:pPr>
              <w:jc w:val="center"/>
            </w:pPr>
            <w:r>
              <w:rPr>
                <w:rFonts w:ascii="Calibri" w:cs="Calibri" w:eastAsia="Calibri" w:hAnsi="Calibri"/>
                <w:sz w:val="20"/>
                <w:szCs w:val="20"/>
              </w:rPr>
              <w:t xml:space="preserve">65,534</w:t>
            </w:r>
          </w:p>
        </w:tc>
      </w:tr>
      <w:tr>
        <w:tc>
          <w:tcPr>
            <w:tcW w:type="pct" w:w="20%"/>
          </w:tcPr>
          <w:p>
            <w:pPr>
              <w:jc w:val="center"/>
            </w:pPr>
            <w:r>
              <w:rPr>
                <w:rFonts w:ascii="Calibri" w:cs="Calibri" w:eastAsia="Calibri" w:hAnsi="Calibri"/>
                <w:sz w:val="20"/>
                <w:szCs w:val="20"/>
              </w:rPr>
              <w:t xml:space="preserve">C</w:t>
            </w:r>
          </w:p>
        </w:tc>
        <w:tc>
          <w:tcPr>
            <w:tcW w:type="pct" w:w="20%"/>
          </w:tcPr>
          <w:p>
            <w:pPr>
              <w:jc w:val="center"/>
            </w:pPr>
            <w:r>
              <w:rPr>
                <w:rFonts w:ascii="Calibri" w:cs="Calibri" w:eastAsia="Calibri" w:hAnsi="Calibri"/>
                <w:sz w:val="20"/>
                <w:szCs w:val="20"/>
              </w:rPr>
              <w:t xml:space="preserve">192 – 223</w:t>
            </w:r>
          </w:p>
        </w:tc>
        <w:tc>
          <w:tcPr>
            <w:tcW w:type="pct" w:w="20%"/>
          </w:tcPr>
          <w:p>
            <w:pPr>
              <w:jc w:val="center"/>
            </w:pPr>
            <w:r>
              <w:rPr>
                <w:rFonts w:ascii="Calibri" w:cs="Calibri" w:eastAsia="Calibri" w:hAnsi="Calibri"/>
                <w:sz w:val="20"/>
                <w:szCs w:val="20"/>
              </w:rPr>
              <w:t xml:space="preserve">255.255.255.0 (/24)</w:t>
            </w:r>
          </w:p>
        </w:tc>
        <w:tc>
          <w:tcPr>
            <w:tcW w:type="pct" w:w="20%"/>
          </w:tcPr>
          <w:p>
            <w:pPr>
              <w:jc w:val="center"/>
            </w:pPr>
            <w:r>
              <w:rPr>
                <w:rFonts w:ascii="Calibri" w:cs="Calibri" w:eastAsia="Calibri" w:hAnsi="Calibri"/>
                <w:sz w:val="20"/>
                <w:szCs w:val="20"/>
              </w:rPr>
              <w:t xml:space="preserve">2,097,152</w:t>
            </w:r>
          </w:p>
        </w:tc>
        <w:tc>
          <w:tcPr>
            <w:tcW w:type="pct" w:w="20%"/>
          </w:tcPr>
          <w:p>
            <w:pPr>
              <w:jc w:val="center"/>
            </w:pPr>
            <w:r>
              <w:rPr>
                <w:rFonts w:ascii="Calibri" w:cs="Calibri" w:eastAsia="Calibri" w:hAnsi="Calibri"/>
                <w:sz w:val="20"/>
                <w:szCs w:val="20"/>
              </w:rPr>
              <w:t xml:space="preserve">254</w:t>
            </w:r>
          </w:p>
        </w:tc>
      </w:tr>
      <w:tr>
        <w:tc>
          <w:tcPr>
            <w:tcW w:type="pct" w:w="20%"/>
          </w:tcPr>
          <w:p>
            <w:pPr>
              <w:jc w:val="center"/>
            </w:pPr>
            <w:r>
              <w:rPr>
                <w:rFonts w:ascii="Calibri" w:cs="Calibri" w:eastAsia="Calibri" w:hAnsi="Calibri"/>
                <w:sz w:val="20"/>
                <w:szCs w:val="20"/>
              </w:rPr>
              <w:t xml:space="preserve">D</w:t>
            </w:r>
          </w:p>
        </w:tc>
        <w:tc>
          <w:tcPr>
            <w:tcW w:type="pct" w:w="20%"/>
          </w:tcPr>
          <w:p>
            <w:pPr>
              <w:jc w:val="center"/>
            </w:pPr>
            <w:r>
              <w:rPr>
                <w:rFonts w:ascii="Calibri" w:cs="Calibri" w:eastAsia="Calibri" w:hAnsi="Calibri"/>
                <w:sz w:val="20"/>
                <w:szCs w:val="20"/>
              </w:rPr>
              <w:t xml:space="preserve">224 – 239</w:t>
            </w:r>
          </w:p>
        </w:tc>
        <w:tc>
          <w:tcPr>
            <w:tcW w:type="pct" w:w="20%"/>
          </w:tcPr>
          <w:p>
            <w:pPr>
              <w:jc w:val="center"/>
            </w:pPr>
            <w:r>
              <w:rPr>
                <w:rFonts w:ascii="Calibri" w:cs="Calibri" w:eastAsia="Calibri" w:hAnsi="Calibri"/>
                <w:sz w:val="20"/>
                <w:szCs w:val="20"/>
              </w:rPr>
              <w:t xml:space="preserve">Not applicable (Multicast)</w:t>
            </w:r>
          </w:p>
        </w:tc>
        <w:tc>
          <w:tcPr>
            <w:tcW w:type="pct" w:w="20%"/>
          </w:tcPr>
          <w:p>
            <w:pPr>
              <w:jc w:val="center"/>
            </w:pPr>
            <w:r>
              <w:rPr>
                <w:rFonts w:ascii="Calibri" w:cs="Calibri" w:eastAsia="Calibri" w:hAnsi="Calibri"/>
                <w:sz w:val="20"/>
                <w:szCs w:val="20"/>
              </w:rPr>
              <w:t xml:space="preserve">—</w:t>
            </w:r>
          </w:p>
        </w:tc>
        <w:tc>
          <w:tcPr>
            <w:tcW w:type="pct" w:w="20%"/>
          </w:tcPr>
          <w:p>
            <w:pPr>
              <w:jc w:val="center"/>
            </w:pPr>
            <w:r>
              <w:rPr>
                <w:rFonts w:ascii="Calibri" w:cs="Calibri" w:eastAsia="Calibri" w:hAnsi="Calibri"/>
                <w:sz w:val="20"/>
                <w:szCs w:val="20"/>
              </w:rPr>
              <w:t xml:space="preserve">—</w:t>
            </w:r>
          </w:p>
        </w:tc>
      </w:tr>
      <w:tr>
        <w:tc>
          <w:tcPr>
            <w:tcW w:type="pct" w:w="20%"/>
          </w:tcPr>
          <w:p>
            <w:pPr>
              <w:jc w:val="center"/>
            </w:pPr>
            <w:r>
              <w:rPr>
                <w:rFonts w:ascii="Calibri" w:cs="Calibri" w:eastAsia="Calibri" w:hAnsi="Calibri"/>
                <w:sz w:val="20"/>
                <w:szCs w:val="20"/>
              </w:rPr>
              <w:t xml:space="preserve">E</w:t>
            </w:r>
          </w:p>
        </w:tc>
        <w:tc>
          <w:tcPr>
            <w:tcW w:type="pct" w:w="20%"/>
          </w:tcPr>
          <w:p>
            <w:pPr>
              <w:jc w:val="center"/>
            </w:pPr>
            <w:r>
              <w:rPr>
                <w:rFonts w:ascii="Calibri" w:cs="Calibri" w:eastAsia="Calibri" w:hAnsi="Calibri"/>
                <w:sz w:val="20"/>
                <w:szCs w:val="20"/>
              </w:rPr>
              <w:t xml:space="preserve">240 – 255</w:t>
            </w:r>
          </w:p>
        </w:tc>
        <w:tc>
          <w:tcPr>
            <w:tcW w:type="pct" w:w="20%"/>
          </w:tcPr>
          <w:p>
            <w:pPr>
              <w:jc w:val="center"/>
            </w:pPr>
            <w:r>
              <w:rPr>
                <w:rFonts w:ascii="Calibri" w:cs="Calibri" w:eastAsia="Calibri" w:hAnsi="Calibri"/>
                <w:sz w:val="20"/>
                <w:szCs w:val="20"/>
              </w:rPr>
              <w:t xml:space="preserve">Not applicable (Experimental)</w:t>
            </w:r>
          </w:p>
        </w:tc>
        <w:tc>
          <w:tcPr>
            <w:tcW w:type="pct" w:w="20%"/>
          </w:tcPr>
          <w:p>
            <w:pPr>
              <w:jc w:val="center"/>
            </w:pPr>
            <w:r>
              <w:rPr>
                <w:rFonts w:ascii="Calibri" w:cs="Calibri" w:eastAsia="Calibri" w:hAnsi="Calibri"/>
                <w:sz w:val="20"/>
                <w:szCs w:val="20"/>
              </w:rPr>
              <w:t xml:space="preserve">—</w:t>
            </w:r>
          </w:p>
        </w:tc>
        <w:tc>
          <w:tcPr>
            <w:tcW w:type="pct" w:w="20%"/>
          </w:tcPr>
          <w:p>
            <w:pPr>
              <w:jc w:val="center"/>
            </w:pPr>
            <w:r>
              <w:rPr>
                <w:rFonts w:ascii="Calibri" w:cs="Calibri" w:eastAsia="Calibri" w:hAnsi="Calibri"/>
                <w:sz w:val="20"/>
                <w:szCs w:val="20"/>
              </w:rPr>
              <w:t xml:space="preserve">—</w:t>
            </w:r>
          </w:p>
        </w:tc>
      </w:tr>
    </w:tbl>
    <w:p>
      <w:pPr>
        <w:spacing w:after="100" w:line="264"/>
        <w:jc w:val="both"/>
      </w:pPr>
      <w:r>
        <w:rPr>
          <w:rFonts w:ascii="Calibri" w:cs="Calibri" w:eastAsia="Calibri" w:hAnsi="Calibri"/>
          <w:sz w:val="22"/>
          <w:szCs w:val="22"/>
        </w:rPr>
        <w:t xml:space="preserve"> </w:t>
      </w:r>
    </w:p>
    <w:p>
      <w:pPr>
        <w:spacing w:after="100" w:line="264"/>
        <w:jc w:val="both"/>
      </w:pPr>
      <w:r>
        <w:rPr>
          <w:rFonts w:ascii="Calibri" w:cs="Calibri" w:eastAsia="Calibri" w:hAnsi="Calibri"/>
          <w:sz w:val="22"/>
          <w:szCs w:val="22"/>
        </w:rPr>
        <w:t xml:space="preserve">Class A addresses use the first 8 bits for the network and the remaining 24 bits for hosts, so very few networks exist but each can support millions of hosts — suited to extremely large organizations. Class B splits the address evenly (16 bits network, 16 bits host), suited to medium to large organizations. Class C uses 24 bits for the network and only 8 for hosts, giving a huge number of small networks — suited to small organizations. Class D is reserved for multicast group addressing rather than individual hosts, and Class E is reserved for experimental and research use.</w:t>
      </w:r>
    </w:p>
    <w:p>
      <w:pPr>
        <w:spacing w:after="80" w:before="140"/>
      </w:pPr>
      <w:r>
        <w:rPr>
          <w:rFonts w:ascii="Calibri" w:cs="Calibri" w:eastAsia="Calibri" w:hAnsi="Calibri"/>
          <w:b/>
          <w:bCs/>
          <w:color w:val="2E5395"/>
          <w:sz w:val="23"/>
          <w:szCs w:val="23"/>
        </w:rPr>
        <w:t xml:space="preserve">Subnetting</w:t>
      </w:r>
    </w:p>
    <w:p>
      <w:pPr>
        <w:spacing w:after="100" w:line="264"/>
        <w:jc w:val="both"/>
      </w:pPr>
      <w:r>
        <w:rPr>
          <w:rFonts w:ascii="Calibri" w:cs="Calibri" w:eastAsia="Calibri" w:hAnsi="Calibri"/>
          <w:sz w:val="22"/>
          <w:szCs w:val="22"/>
        </w:rPr>
        <w:t xml:space="preserve">Subnetting is the process of dividing a single large network into several smaller sub-networks (subnets) by borrowing bits from the host portion of an address to extend the network portion. This improves address utilisation, reduces broadcast traffic, and allows better organisation and security for different departments or locations.</w:t>
      </w:r>
    </w:p>
    <w:p>
      <w:pPr>
        <w:spacing w:after="100" w:line="264"/>
        <w:jc w:val="both"/>
      </w:pPr>
      <w:r>
        <w:rPr>
          <w:rFonts w:ascii="Calibri" w:cs="Calibri" w:eastAsia="Calibri" w:hAnsi="Calibri"/>
          <w:sz w:val="22"/>
          <w:szCs w:val="22"/>
        </w:rPr>
        <w:t xml:space="preserve">Example: Consider the network 192.168.1.0/24, which normally supports 254 hosts. If an organisation needs 4 separate departments, it can borrow 2 bits from the host portion to create a /26 mask (255.255.255.192). This produces 4 subnets — 192.168.1.0/26, 192.168.1.64/26, 192.168.1.128/26, and 192.168.1.192/26 — each supporting 62 usable hosts.</w:t>
      </w:r>
    </w:p>
    <w:p>
      <w:pPr>
        <w:spacing w:after="80" w:before="140"/>
      </w:pPr>
      <w:r>
        <w:rPr>
          <w:rFonts w:ascii="Calibri" w:cs="Calibri" w:eastAsia="Calibri" w:hAnsi="Calibri"/>
          <w:b/>
          <w:bCs/>
          <w:color w:val="2E5395"/>
          <w:sz w:val="23"/>
          <w:szCs w:val="23"/>
        </w:rPr>
        <w:t xml:space="preserve">Supernetting</w:t>
      </w:r>
    </w:p>
    <w:p>
      <w:pPr>
        <w:spacing w:after="100" w:line="264"/>
        <w:jc w:val="both"/>
      </w:pPr>
      <w:r>
        <w:rPr>
          <w:rFonts w:ascii="Calibri" w:cs="Calibri" w:eastAsia="Calibri" w:hAnsi="Calibri"/>
          <w:sz w:val="22"/>
          <w:szCs w:val="22"/>
        </w:rPr>
        <w:t xml:space="preserve">Supernetting is the reverse process: it combines several smaller contiguous network blocks into one larger block by borrowing bits from the network portion and giving them to the host portion. It is mainly used to reduce the number of entries in routing tables (route aggregation, also called CIDR — Classless Inter-Domain Routing).</w:t>
      </w:r>
    </w:p>
    <w:p>
      <w:pPr>
        <w:spacing w:after="100" w:line="264"/>
        <w:jc w:val="both"/>
      </w:pPr>
      <w:r>
        <w:rPr>
          <w:rFonts w:ascii="Calibri" w:cs="Calibri" w:eastAsia="Calibri" w:hAnsi="Calibri"/>
          <w:sz w:val="22"/>
          <w:szCs w:val="22"/>
        </w:rPr>
        <w:t xml:space="preserve">Example: Four Class C networks — 192.168.0.0/24, 192.168.1.0/24, 192.168.2.0/24 and 192.168.3.0/24 — can be aggregated into a single supernet 192.168.0.0/22, which represents all four blocks as one routing entry instead of four.</w:t>
      </w:r>
    </w:p>
    <w:p>
      <w:pPr>
        <w:spacing w:after="120" w:before="200"/>
      </w:pPr>
      <w:r>
        <w:rPr>
          <w:rFonts w:ascii="Calibri" w:cs="Calibri" w:eastAsia="Calibri" w:hAnsi="Calibri"/>
          <w:b/>
          <w:bCs/>
          <w:color w:val="1F3864"/>
          <w:sz w:val="26"/>
          <w:szCs w:val="26"/>
        </w:rPr>
        <w:t xml:space="preserve">Q2. Link State vs Distance Vector Routing</w:t>
      </w:r>
    </w:p>
    <w:p>
      <w:pPr>
        <w:spacing w:after="100" w:line="264"/>
        <w:jc w:val="both"/>
      </w:pPr>
      <w:r>
        <w:rPr>
          <w:rFonts w:ascii="Calibri" w:cs="Calibri" w:eastAsia="Calibri" w:hAnsi="Calibri"/>
          <w:sz w:val="22"/>
          <w:szCs w:val="22"/>
        </w:rPr>
        <w:t xml:space="preserve">Routing algorithms are used by routers to determine the best (least-cost) path for forwarding packets across a network. Link State and Distance Vector are the two classical approaches to dynamic routing, and they differ fundamentally in what information they share and how they calculate paths.</w:t>
      </w:r>
    </w:p>
    <w:p>
      <w:pPr>
        <w:spacing w:after="80" w:before="140"/>
      </w:pPr>
      <w:r>
        <w:rPr>
          <w:rFonts w:ascii="Calibri" w:cs="Calibri" w:eastAsia="Calibri" w:hAnsi="Calibri"/>
          <w:b/>
          <w:bCs/>
          <w:color w:val="2E5395"/>
          <w:sz w:val="23"/>
          <w:szCs w:val="23"/>
        </w:rPr>
        <w:t xml:space="preserve">Distance Vector Routing</w:t>
      </w:r>
    </w:p>
    <w:p>
      <w:pPr>
        <w:spacing w:after="100" w:line="264"/>
        <w:jc w:val="both"/>
      </w:pPr>
      <w:r>
        <w:rPr>
          <w:rFonts w:ascii="Calibri" w:cs="Calibri" w:eastAsia="Calibri" w:hAnsi="Calibri"/>
          <w:sz w:val="22"/>
          <w:szCs w:val="22"/>
        </w:rPr>
        <w:t xml:space="preserve">In Distance Vector routing, each router maintains a table (vector) containing the distance — usually hop count — to every other router in the network. A router does not know the full topology; it only knows the cost to reach a destination and which neighbour to send traffic through. Routers periodically exchange their entire routing table with their directly connected neighbours, and each router updates its own table using the Bellman-Ford algorithm: if a neighbour advertises a cheaper path to a destination, the router adopts that path through the neighbour. This is often summarised as "routing by rumour" because a router trusts what its neighbours tell it without verifying the topology itself. RIP (Routing Information Protocol) is a common example.</w:t>
      </w:r>
    </w:p>
    <w:p>
      <w:pPr>
        <w:spacing w:after="100" w:line="264"/>
        <w:jc w:val="both"/>
      </w:pPr>
      <w:r>
        <w:rPr>
          <w:rFonts w:ascii="Calibri" w:cs="Calibri" w:eastAsia="Calibri" w:hAnsi="Calibri"/>
          <w:sz w:val="22"/>
          <w:szCs w:val="22"/>
        </w:rPr>
        <w:t xml:space="preserve">Example: If Router A is connected to Router B (cost 1) and Router B is connected to Router C (cost 1), Router B tells Router A that it can reach C at cost 1. Router A then calculates its own cost to C as 1 (to B) + 1 (B to C) = 2, and updates its table to route through B.</w:t>
      </w:r>
    </w:p>
    <w:p>
      <w:pPr>
        <w:spacing w:after="80" w:before="140"/>
      </w:pPr>
      <w:r>
        <w:rPr>
          <w:rFonts w:ascii="Calibri" w:cs="Calibri" w:eastAsia="Calibri" w:hAnsi="Calibri"/>
          <w:b/>
          <w:bCs/>
          <w:color w:val="2E5395"/>
          <w:sz w:val="23"/>
          <w:szCs w:val="23"/>
        </w:rPr>
        <w:t xml:space="preserve">Link State Routing</w:t>
      </w:r>
    </w:p>
    <w:p>
      <w:pPr>
        <w:spacing w:after="100" w:line="264"/>
        <w:jc w:val="both"/>
      </w:pPr>
      <w:r>
        <w:rPr>
          <w:rFonts w:ascii="Calibri" w:cs="Calibri" w:eastAsia="Calibri" w:hAnsi="Calibri"/>
          <w:sz w:val="22"/>
          <w:szCs w:val="22"/>
        </w:rPr>
        <w:t xml:space="preserve">In Link State routing, every router builds a complete picture (map) of the entire network topology. Each router creates a Link State Packet (LSP) describing itself and the cost to each of its directly connected neighbours, and floods this LSP to every other router in the network. Once every router has received LSPs from all other routers, each one independently runs Dijkstra's shortest path algorithm on the complete topology graph to compute the least-cost path to every destination. OSPF (Open Shortest Path First) is a common example.</w:t>
      </w:r>
    </w:p>
    <w:p>
      <w:pPr>
        <w:spacing w:after="100" w:line="264"/>
        <w:jc w:val="both"/>
      </w:pPr>
      <w:r>
        <w:rPr>
          <w:rFonts w:ascii="Calibri" w:cs="Calibri" w:eastAsia="Calibri" w:hAnsi="Calibri"/>
          <w:sz w:val="22"/>
          <w:szCs w:val="22"/>
        </w:rPr>
        <w:t xml:space="preserve">Example: If a network has routers A, B, C, and D with different link costs between them, each router uses the flooded link-state information to build the same topology graph and then runs Dijkstra's algorithm to compute the shortest path tree rooted at itself, guaranteeing every router picks a globally consistent least-cost route rather than one based only on a neighbour's word.</w:t>
      </w:r>
    </w:p>
    <w:p>
      <w:pPr>
        <w:spacing w:after="80" w:before="140"/>
      </w:pPr>
      <w:r>
        <w:rPr>
          <w:rFonts w:ascii="Calibri" w:cs="Calibri" w:eastAsia="Calibri" w:hAnsi="Calibri"/>
          <w:b/>
          <w:bCs/>
          <w:color w:val="2E5395"/>
          <w:sz w:val="23"/>
          <w:szCs w:val="23"/>
        </w:rPr>
        <w:t xml:space="preserve">Key Differences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c>
          <w:tcPr>
            <w:shd w:fill="1F3864" w:val="clear"/>
          </w:tcPr>
          <w:p>
            <w:pPr>
              <w:jc w:val="center"/>
            </w:pPr>
            <w:r>
              <w:rPr>
                <w:rFonts w:ascii="Calibri" w:cs="Calibri" w:eastAsia="Calibri" w:hAnsi="Calibri"/>
                <w:b/>
                <w:bCs/>
                <w:color w:val="FFFFFF"/>
                <w:sz w:val="20"/>
                <w:szCs w:val="20"/>
              </w:rPr>
              <w:t xml:space="preserve">Aspect</w:t>
            </w:r>
          </w:p>
        </w:tc>
        <w:tc>
          <w:tcPr>
            <w:shd w:fill="1F3864" w:val="clear"/>
          </w:tcPr>
          <w:p>
            <w:pPr>
              <w:jc w:val="center"/>
            </w:pPr>
            <w:r>
              <w:rPr>
                <w:rFonts w:ascii="Calibri" w:cs="Calibri" w:eastAsia="Calibri" w:hAnsi="Calibri"/>
                <w:b/>
                <w:bCs/>
                <w:color w:val="FFFFFF"/>
                <w:sz w:val="20"/>
                <w:szCs w:val="20"/>
              </w:rPr>
              <w:t xml:space="preserve">Distance Vector</w:t>
            </w:r>
          </w:p>
        </w:tc>
        <w:tc>
          <w:tcPr>
            <w:shd w:fill="1F3864" w:val="clear"/>
          </w:tcPr>
          <w:p>
            <w:pPr>
              <w:jc w:val="center"/>
            </w:pPr>
            <w:r>
              <w:rPr>
                <w:rFonts w:ascii="Calibri" w:cs="Calibri" w:eastAsia="Calibri" w:hAnsi="Calibri"/>
                <w:b/>
                <w:bCs/>
                <w:color w:val="FFFFFF"/>
                <w:sz w:val="20"/>
                <w:szCs w:val="20"/>
              </w:rPr>
              <w:t xml:space="preserve">Link State</w:t>
            </w:r>
          </w:p>
        </w:tc>
      </w:tr>
      <w:tr>
        <w:tc>
          <w:p>
            <w:r>
              <w:rPr>
                <w:rFonts w:ascii="Calibri" w:cs="Calibri" w:eastAsia="Calibri" w:hAnsi="Calibri"/>
                <w:sz w:val="20"/>
                <w:szCs w:val="20"/>
              </w:rPr>
              <w:t xml:space="preserve">Knowledge of network</w:t>
            </w:r>
          </w:p>
        </w:tc>
        <w:tc>
          <w:p>
            <w:r>
              <w:rPr>
                <w:rFonts w:ascii="Calibri" w:cs="Calibri" w:eastAsia="Calibri" w:hAnsi="Calibri"/>
                <w:sz w:val="20"/>
                <w:szCs w:val="20"/>
              </w:rPr>
              <w:t xml:space="preserve">Knows only distance to neighbours</w:t>
            </w:r>
          </w:p>
        </w:tc>
        <w:tc>
          <w:p>
            <w:r>
              <w:rPr>
                <w:rFonts w:ascii="Calibri" w:cs="Calibri" w:eastAsia="Calibri" w:hAnsi="Calibri"/>
                <w:sz w:val="20"/>
                <w:szCs w:val="20"/>
              </w:rPr>
              <w:t xml:space="preserve">Knows the full network topology</w:t>
            </w:r>
          </w:p>
        </w:tc>
      </w:tr>
      <w:tr>
        <w:tc>
          <w:p>
            <w:r>
              <w:rPr>
                <w:rFonts w:ascii="Calibri" w:cs="Calibri" w:eastAsia="Calibri" w:hAnsi="Calibri"/>
                <w:sz w:val="20"/>
                <w:szCs w:val="20"/>
              </w:rPr>
              <w:t xml:space="preserve">Information shared</w:t>
            </w:r>
          </w:p>
        </w:tc>
        <w:tc>
          <w:p>
            <w:r>
              <w:rPr>
                <w:rFonts w:ascii="Calibri" w:cs="Calibri" w:eastAsia="Calibri" w:hAnsi="Calibri"/>
                <w:sz w:val="20"/>
                <w:szCs w:val="20"/>
              </w:rPr>
              <w:t xml:space="preserve">Entire routing table, to neighbours only</w:t>
            </w:r>
          </w:p>
        </w:tc>
        <w:tc>
          <w:p>
            <w:r>
              <w:rPr>
                <w:rFonts w:ascii="Calibri" w:cs="Calibri" w:eastAsia="Calibri" w:hAnsi="Calibri"/>
                <w:sz w:val="20"/>
                <w:szCs w:val="20"/>
              </w:rPr>
              <w:t xml:space="preserve">Link-state packets, flooded to all routers</w:t>
            </w:r>
          </w:p>
        </w:tc>
      </w:tr>
      <w:tr>
        <w:tc>
          <w:p>
            <w:r>
              <w:rPr>
                <w:rFonts w:ascii="Calibri" w:cs="Calibri" w:eastAsia="Calibri" w:hAnsi="Calibri"/>
                <w:sz w:val="20"/>
                <w:szCs w:val="20"/>
              </w:rPr>
              <w:t xml:space="preserve">Algorithm used</w:t>
            </w:r>
          </w:p>
        </w:tc>
        <w:tc>
          <w:p>
            <w:r>
              <w:rPr>
                <w:rFonts w:ascii="Calibri" w:cs="Calibri" w:eastAsia="Calibri" w:hAnsi="Calibri"/>
                <w:sz w:val="20"/>
                <w:szCs w:val="20"/>
              </w:rPr>
              <w:t xml:space="preserve">Bellman-Ford algorithm</w:t>
            </w:r>
          </w:p>
        </w:tc>
        <w:tc>
          <w:p>
            <w:r>
              <w:rPr>
                <w:rFonts w:ascii="Calibri" w:cs="Calibri" w:eastAsia="Calibri" w:hAnsi="Calibri"/>
                <w:sz w:val="20"/>
                <w:szCs w:val="20"/>
              </w:rPr>
              <w:t xml:space="preserve">Dijkstra's shortest path algorithm</w:t>
            </w:r>
          </w:p>
        </w:tc>
      </w:tr>
      <w:tr>
        <w:tc>
          <w:p>
            <w:r>
              <w:rPr>
                <w:rFonts w:ascii="Calibri" w:cs="Calibri" w:eastAsia="Calibri" w:hAnsi="Calibri"/>
                <w:sz w:val="20"/>
                <w:szCs w:val="20"/>
              </w:rPr>
              <w:t xml:space="preserve">Convergence speed</w:t>
            </w:r>
          </w:p>
        </w:tc>
        <w:tc>
          <w:p>
            <w:r>
              <w:rPr>
                <w:rFonts w:ascii="Calibri" w:cs="Calibri" w:eastAsia="Calibri" w:hAnsi="Calibri"/>
                <w:sz w:val="20"/>
                <w:szCs w:val="20"/>
              </w:rPr>
              <w:t xml:space="preserve">Slower, prone to routing loops</w:t>
            </w:r>
          </w:p>
        </w:tc>
        <w:tc>
          <w:p>
            <w:r>
              <w:rPr>
                <w:rFonts w:ascii="Calibri" w:cs="Calibri" w:eastAsia="Calibri" w:hAnsi="Calibri"/>
                <w:sz w:val="20"/>
                <w:szCs w:val="20"/>
              </w:rPr>
              <w:t xml:space="preserve">Faster and more accurate</w:t>
            </w:r>
          </w:p>
        </w:tc>
      </w:tr>
      <w:tr>
        <w:tc>
          <w:p>
            <w:r>
              <w:rPr>
                <w:rFonts w:ascii="Calibri" w:cs="Calibri" w:eastAsia="Calibri" w:hAnsi="Calibri"/>
                <w:sz w:val="20"/>
                <w:szCs w:val="20"/>
              </w:rPr>
              <w:t xml:space="preserve">Example protocol</w:t>
            </w:r>
          </w:p>
        </w:tc>
        <w:tc>
          <w:p>
            <w:r>
              <w:rPr>
                <w:rFonts w:ascii="Calibri" w:cs="Calibri" w:eastAsia="Calibri" w:hAnsi="Calibri"/>
                <w:sz w:val="20"/>
                <w:szCs w:val="20"/>
              </w:rPr>
              <w:t xml:space="preserve">RIP</w:t>
            </w:r>
          </w:p>
        </w:tc>
        <w:tc>
          <w:p>
            <w:r>
              <w:rPr>
                <w:rFonts w:ascii="Calibri" w:cs="Calibri" w:eastAsia="Calibri" w:hAnsi="Calibri"/>
                <w:sz w:val="20"/>
                <w:szCs w:val="20"/>
              </w:rPr>
              <w:t xml:space="preserve">OSPF</w:t>
            </w:r>
          </w:p>
        </w:tc>
      </w:tr>
    </w:tbl>
    <w:p>
      <w:pPr>
        <w:spacing w:after="120" w:before="200"/>
      </w:pPr>
      <w:r>
        <w:rPr>
          <w:rFonts w:ascii="Calibri" w:cs="Calibri" w:eastAsia="Calibri" w:hAnsi="Calibri"/>
          <w:b/>
          <w:bCs/>
          <w:color w:val="1F3864"/>
          <w:sz w:val="26"/>
          <w:szCs w:val="26"/>
        </w:rPr>
        <w:t xml:space="preserve">Q3. Congestion Control, Leaky Bucket vs Token Bucket, and Fragmentation</w:t>
      </w:r>
    </w:p>
    <w:p>
      <w:pPr>
        <w:spacing w:after="80" w:before="140"/>
      </w:pPr>
      <w:r>
        <w:rPr>
          <w:rFonts w:ascii="Calibri" w:cs="Calibri" w:eastAsia="Calibri" w:hAnsi="Calibri"/>
          <w:b/>
          <w:bCs/>
          <w:color w:val="2E5395"/>
          <w:sz w:val="23"/>
          <w:szCs w:val="23"/>
        </w:rPr>
        <w:t xml:space="preserve">What is Congestion in a Network?</w:t>
      </w:r>
    </w:p>
    <w:p>
      <w:pPr>
        <w:spacing w:after="100" w:line="264"/>
        <w:jc w:val="both"/>
      </w:pPr>
      <w:r>
        <w:rPr>
          <w:rFonts w:ascii="Calibri" w:cs="Calibri" w:eastAsia="Calibri" w:hAnsi="Calibri"/>
          <w:sz w:val="22"/>
          <w:szCs w:val="22"/>
        </w:rPr>
        <w:t xml:space="preserve">Congestion occurs when the amount of data being sent into a network exceeds the capacity of the network's resources (links, buffers, or router processing power) to handle it. This leads to increased queuing delay, packet loss, and retransmissions, which can further worsen the congestion — a situation sometimes called congestion collapse.</w:t>
      </w:r>
    </w:p>
    <w:p>
      <w:pPr>
        <w:spacing w:after="80" w:before="140"/>
      </w:pPr>
      <w:r>
        <w:rPr>
          <w:rFonts w:ascii="Calibri" w:cs="Calibri" w:eastAsia="Calibri" w:hAnsi="Calibri"/>
          <w:b/>
          <w:bCs/>
          <w:color w:val="2E5395"/>
          <w:sz w:val="23"/>
          <w:szCs w:val="23"/>
        </w:rPr>
        <w:t xml:space="preserve">Why do we need to control congestion?</w:t>
      </w:r>
    </w:p>
    <w:p>
      <w:pPr>
        <w:spacing w:after="100" w:line="264"/>
        <w:jc w:val="both"/>
      </w:pPr>
      <w:r>
        <w:rPr>
          <w:rFonts w:ascii="Calibri" w:cs="Calibri" w:eastAsia="Calibri" w:hAnsi="Calibri"/>
          <w:sz w:val="22"/>
          <w:szCs w:val="22"/>
        </w:rPr>
        <w:t xml:space="preserve">Congestion control is necessary to maintain acceptable network performance: it prevents excessive packet loss and retransmissions, keeps delay and jitter within usable limits, ensures fair sharing of bandwidth among competing users, and protects the overall throughput of the network from collapsing under heavy load.</w:t>
      </w:r>
    </w:p>
    <w:p>
      <w:pPr>
        <w:spacing w:after="80" w:before="140"/>
      </w:pPr>
      <w:r>
        <w:rPr>
          <w:rFonts w:ascii="Calibri" w:cs="Calibri" w:eastAsia="Calibri" w:hAnsi="Calibri"/>
          <w:b/>
          <w:bCs/>
          <w:color w:val="2E5395"/>
          <w:sz w:val="23"/>
          <w:szCs w:val="23"/>
        </w:rPr>
        <w:t xml:space="preserve">Leaky Bucket Algorithm</w:t>
      </w:r>
    </w:p>
    <w:p>
      <w:pPr>
        <w:spacing w:after="100" w:line="264"/>
        <w:jc w:val="both"/>
      </w:pPr>
      <w:r>
        <w:rPr>
          <w:rFonts w:ascii="Calibri" w:cs="Calibri" w:eastAsia="Calibri" w:hAnsi="Calibri"/>
          <w:sz w:val="22"/>
          <w:szCs w:val="22"/>
        </w:rPr>
        <w:t xml:space="preserve">The Leaky Bucket algorithm regulates the rate at which data is sent into the network, converting bursty traffic into a smooth, fixed-rate output — similar to a bucket with a small hole that leaks water at a constant rate regardless of how fast water is poured in. Incoming packets are queued in the bucket (buffer of fixed size); if the bucket is full, further arriving packets are discarded. Data leaves the bucket, and enters the network, at a constant fixed rate.</w:t>
      </w:r>
    </w:p>
    <w:p>
      <w:pPr>
        <w:spacing w:after="100" w:line="264"/>
        <w:jc w:val="both"/>
      </w:pPr>
      <w:r>
        <w:rPr>
          <w:rFonts w:ascii="Calibri" w:cs="Calibri" w:eastAsia="Calibri" w:hAnsi="Calibri"/>
          <w:sz w:val="22"/>
          <w:szCs w:val="22"/>
        </w:rPr>
        <w:t xml:space="preserve">Example: If data arrives in bursts of 10 Mbps for short periods but the bucket enforces an output rate of 2 Mbps, packets are queued and released steadily at 2 Mbps, smoothing the burst but not allowing the network to benefit from idle periods.</w:t>
      </w:r>
    </w:p>
    <w:p>
      <w:pPr>
        <w:spacing w:after="80" w:before="140"/>
      </w:pPr>
      <w:r>
        <w:rPr>
          <w:rFonts w:ascii="Calibri" w:cs="Calibri" w:eastAsia="Calibri" w:hAnsi="Calibri"/>
          <w:b/>
          <w:bCs/>
          <w:color w:val="2E5395"/>
          <w:sz w:val="23"/>
          <w:szCs w:val="23"/>
        </w:rPr>
        <w:t xml:space="preserve">Token Bucket Algorithm</w:t>
      </w:r>
    </w:p>
    <w:p>
      <w:pPr>
        <w:spacing w:after="100" w:line="264"/>
        <w:jc w:val="both"/>
      </w:pPr>
      <w:r>
        <w:rPr>
          <w:rFonts w:ascii="Calibri" w:cs="Calibri" w:eastAsia="Calibri" w:hAnsi="Calibri"/>
          <w:sz w:val="22"/>
          <w:szCs w:val="22"/>
        </w:rPr>
        <w:t xml:space="preserve">The Token Bucket algorithm is more flexible: tokens are generated and added to a bucket at a fixed rate, and a packet can only be transmitted if it can obtain enough tokens from the bucket. Unlike the leaky bucket, if the bucket has accumulated unused tokens during idle periods, the sender is allowed to transmit a burst of data at a higher rate up to the number of available tokens, instead of being forced to a strictly constant rate.</w:t>
      </w:r>
    </w:p>
    <w:p>
      <w:pPr>
        <w:spacing w:after="100" w:line="264"/>
        <w:jc w:val="both"/>
      </w:pPr>
      <w:r>
        <w:rPr>
          <w:rFonts w:ascii="Calibri" w:cs="Calibri" w:eastAsia="Calibri" w:hAnsi="Calibri"/>
          <w:sz w:val="22"/>
          <w:szCs w:val="22"/>
        </w:rPr>
        <w:t xml:space="preserve">Example: If tokens are added at a rate of 2 Mbps but the bucket has accumulated tokens during an idle period (say enough for 5 Mbps worth of data), the sender may burst at a higher rate temporarily until the accumulated tokens are exhausted, after which it must slow back down to the token arrival rate.</w:t>
      </w:r>
    </w:p>
    <w:p>
      <w:pPr>
        <w:spacing w:after="80" w:before="140"/>
      </w:pPr>
      <w:r>
        <w:rPr>
          <w:rFonts w:ascii="Calibri" w:cs="Calibri" w:eastAsia="Calibri" w:hAnsi="Calibri"/>
          <w:b/>
          <w:bCs/>
          <w:color w:val="2E5395"/>
          <w:sz w:val="23"/>
          <w:szCs w:val="23"/>
        </w:rPr>
        <w:t xml:space="preserve">Leaky Bucket vs Token Bucket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c>
          <w:tcPr>
            <w:shd w:fill="1F3864" w:val="clear"/>
          </w:tcPr>
          <w:p>
            <w:pPr>
              <w:jc w:val="center"/>
            </w:pPr>
            <w:r>
              <w:rPr>
                <w:rFonts w:ascii="Calibri" w:cs="Calibri" w:eastAsia="Calibri" w:hAnsi="Calibri"/>
                <w:b/>
                <w:bCs/>
                <w:color w:val="FFFFFF"/>
                <w:sz w:val="20"/>
                <w:szCs w:val="20"/>
              </w:rPr>
              <w:t xml:space="preserve">Aspect</w:t>
            </w:r>
          </w:p>
        </w:tc>
        <w:tc>
          <w:tcPr>
            <w:shd w:fill="1F3864" w:val="clear"/>
          </w:tcPr>
          <w:p>
            <w:pPr>
              <w:jc w:val="center"/>
            </w:pPr>
            <w:r>
              <w:rPr>
                <w:rFonts w:ascii="Calibri" w:cs="Calibri" w:eastAsia="Calibri" w:hAnsi="Calibri"/>
                <w:b/>
                <w:bCs/>
                <w:color w:val="FFFFFF"/>
                <w:sz w:val="20"/>
                <w:szCs w:val="20"/>
              </w:rPr>
              <w:t xml:space="preserve">Leaky Bucket</w:t>
            </w:r>
          </w:p>
        </w:tc>
        <w:tc>
          <w:tcPr>
            <w:shd w:fill="1F3864" w:val="clear"/>
          </w:tcPr>
          <w:p>
            <w:pPr>
              <w:jc w:val="center"/>
            </w:pPr>
            <w:r>
              <w:rPr>
                <w:rFonts w:ascii="Calibri" w:cs="Calibri" w:eastAsia="Calibri" w:hAnsi="Calibri"/>
                <w:b/>
                <w:bCs/>
                <w:color w:val="FFFFFF"/>
                <w:sz w:val="20"/>
                <w:szCs w:val="20"/>
              </w:rPr>
              <w:t xml:space="preserve">Token Bucket</w:t>
            </w:r>
          </w:p>
        </w:tc>
      </w:tr>
      <w:tr>
        <w:tc>
          <w:p>
            <w:r>
              <w:rPr>
                <w:rFonts w:ascii="Calibri" w:cs="Calibri" w:eastAsia="Calibri" w:hAnsi="Calibri"/>
                <w:sz w:val="20"/>
                <w:szCs w:val="20"/>
              </w:rPr>
              <w:t xml:space="preserve">Output rate</w:t>
            </w:r>
          </w:p>
        </w:tc>
        <w:tc>
          <w:p>
            <w:r>
              <w:rPr>
                <w:rFonts w:ascii="Calibri" w:cs="Calibri" w:eastAsia="Calibri" w:hAnsi="Calibri"/>
                <w:sz w:val="20"/>
                <w:szCs w:val="20"/>
              </w:rPr>
              <w:t xml:space="preserve">Strictly constant, fixed rate</w:t>
            </w:r>
          </w:p>
        </w:tc>
        <w:tc>
          <w:p>
            <w:r>
              <w:rPr>
                <w:rFonts w:ascii="Calibri" w:cs="Calibri" w:eastAsia="Calibri" w:hAnsi="Calibri"/>
                <w:sz w:val="20"/>
                <w:szCs w:val="20"/>
              </w:rPr>
              <w:t xml:space="preserve">Allows bursts up to available tokens</w:t>
            </w:r>
          </w:p>
        </w:tc>
      </w:tr>
      <w:tr>
        <w:tc>
          <w:p>
            <w:r>
              <w:rPr>
                <w:rFonts w:ascii="Calibri" w:cs="Calibri" w:eastAsia="Calibri" w:hAnsi="Calibri"/>
                <w:sz w:val="20"/>
                <w:szCs w:val="20"/>
              </w:rPr>
              <w:t xml:space="preserve">Handling of idle time</w:t>
            </w:r>
          </w:p>
        </w:tc>
        <w:tc>
          <w:p>
            <w:r>
              <w:rPr>
                <w:rFonts w:ascii="Calibri" w:cs="Calibri" w:eastAsia="Calibri" w:hAnsi="Calibri"/>
                <w:sz w:val="20"/>
                <w:szCs w:val="20"/>
              </w:rPr>
              <w:t xml:space="preserve">Unused capacity is wasted</w:t>
            </w:r>
          </w:p>
        </w:tc>
        <w:tc>
          <w:p>
            <w:r>
              <w:rPr>
                <w:rFonts w:ascii="Calibri" w:cs="Calibri" w:eastAsia="Calibri" w:hAnsi="Calibri"/>
                <w:sz w:val="20"/>
                <w:szCs w:val="20"/>
              </w:rPr>
              <w:t xml:space="preserve">Unused tokens accumulate for future bursts</w:t>
            </w:r>
          </w:p>
        </w:tc>
      </w:tr>
      <w:tr>
        <w:tc>
          <w:p>
            <w:r>
              <w:rPr>
                <w:rFonts w:ascii="Calibri" w:cs="Calibri" w:eastAsia="Calibri" w:hAnsi="Calibri"/>
                <w:sz w:val="20"/>
                <w:szCs w:val="20"/>
              </w:rPr>
              <w:t xml:space="preserve">Flexibility</w:t>
            </w:r>
          </w:p>
        </w:tc>
        <w:tc>
          <w:p>
            <w:r>
              <w:rPr>
                <w:rFonts w:ascii="Calibri" w:cs="Calibri" w:eastAsia="Calibri" w:hAnsi="Calibri"/>
                <w:sz w:val="20"/>
                <w:szCs w:val="20"/>
              </w:rPr>
              <w:t xml:space="preserve">Rigid, less flexible for bursty traffic</w:t>
            </w:r>
          </w:p>
        </w:tc>
        <w:tc>
          <w:p>
            <w:r>
              <w:rPr>
                <w:rFonts w:ascii="Calibri" w:cs="Calibri" w:eastAsia="Calibri" w:hAnsi="Calibri"/>
                <w:sz w:val="20"/>
                <w:szCs w:val="20"/>
              </w:rPr>
              <w:t xml:space="preserve">More flexible, better suited to bursty traffic</w:t>
            </w:r>
          </w:p>
        </w:tc>
      </w:tr>
    </w:tbl>
    <w:p>
      <w:pPr>
        <w:spacing w:after="100" w:line="264"/>
        <w:jc w:val="both"/>
      </w:pPr>
      <w:r>
        <w:rPr>
          <w:rFonts w:ascii="Calibri" w:cs="Calibri" w:eastAsia="Calibri" w:hAnsi="Calibri"/>
          <w:sz w:val="22"/>
          <w:szCs w:val="22"/>
        </w:rPr>
        <w:t xml:space="preserve"> </w:t>
      </w:r>
    </w:p>
    <w:p>
      <w:pPr>
        <w:spacing w:after="80" w:before="140"/>
      </w:pPr>
      <w:r>
        <w:rPr>
          <w:rFonts w:ascii="Calibri" w:cs="Calibri" w:eastAsia="Calibri" w:hAnsi="Calibri"/>
          <w:b/>
          <w:bCs/>
          <w:color w:val="2E5395"/>
          <w:sz w:val="23"/>
          <w:szCs w:val="23"/>
        </w:rPr>
        <w:t xml:space="preserve">Why do we need Fragmentation?</w:t>
      </w:r>
    </w:p>
    <w:p>
      <w:pPr>
        <w:spacing w:after="100" w:line="264"/>
        <w:jc w:val="both"/>
      </w:pPr>
      <w:r>
        <w:rPr>
          <w:rFonts w:ascii="Calibri" w:cs="Calibri" w:eastAsia="Calibri" w:hAnsi="Calibri"/>
          <w:sz w:val="22"/>
          <w:szCs w:val="22"/>
        </w:rPr>
        <w:t xml:space="preserve">Fragmentation is the process of breaking a large data packet into smaller pieces so that it can pass through a network link whose Maximum Transmission Unit (MTU) is smaller than the packet's size. Different physical networks (Ethernet, Wi-Fi, PPP, etc.) support different maximum frame sizes; a packet larger than a link's MTU must be fragmented, each fragment carrying its own header for reassembly at the destination. This allows data to travel across heterogeneous networks with varying MTU sizes, ensuring interoperability, though it adds reassembly overhead and the risk that losing one fragment forces retransmission of the whole packet.</w:t>
      </w:r>
    </w:p>
    <w:sectPr>
      <w:pgSz w:w="12240" w:h="15840" w:orient="portrait"/>
      <w:pgMar w:top="900" w:right="1350" w:bottom="9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95ba4933b7d51b1df737ef14823ce381ef10c1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2026-09-22T12:18:45.632Z</dcterms:created>
  <dcterms:modified xsi:type="dcterms:W3CDTF">2026-09-22T12:18:45.632Z</dcterms:modified>
</cp:coreProperties>
</file>

<file path=docProps/custom.xml><?xml version="1.0" encoding="utf-8"?>
<Properties xmlns="http://schemas.openxmlformats.org/officeDocument/2006/custom-properties" xmlns:vt="http://schemas.openxmlformats.org/officeDocument/2006/docPropsVTypes"/>
</file>