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443650" w14:textId="77777777" w:rsidR="009774FA" w:rsidRDefault="009774FA">
      <w:pPr>
        <w:spacing w:after="80"/>
        <w:rPr>
          <w:color w:val="595959"/>
          <w:sz w:val="24"/>
          <w:szCs w:val="24"/>
        </w:rPr>
      </w:pPr>
    </w:p>
    <w:p w14:paraId="6C924074" w14:textId="6C0F4664" w:rsidR="009774FA" w:rsidRDefault="009774FA" w:rsidP="009774FA">
      <w:pPr>
        <w:jc w:val="center"/>
        <w:rPr>
          <w:color w:val="595959"/>
          <w:sz w:val="24"/>
          <w:szCs w:val="24"/>
        </w:rPr>
      </w:pPr>
      <w:r>
        <w:rPr>
          <w:noProof/>
          <w:color w:val="595959"/>
          <w:sz w:val="24"/>
          <w:szCs w:val="24"/>
        </w:rPr>
        <w:drawing>
          <wp:inline distT="0" distB="0" distL="0" distR="0" wp14:anchorId="16B30656" wp14:editId="522E1E53">
            <wp:extent cx="4567381" cy="892628"/>
            <wp:effectExtent l="0" t="0" r="0" b="3175"/>
            <wp:docPr id="3484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5901" name="Picture 3484759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6050" cy="898231"/>
                    </a:xfrm>
                    <a:prstGeom prst="rect">
                      <a:avLst/>
                    </a:prstGeom>
                  </pic:spPr>
                </pic:pic>
              </a:graphicData>
            </a:graphic>
          </wp:inline>
        </w:drawing>
      </w:r>
    </w:p>
    <w:p w14:paraId="722F2E4B" w14:textId="77777777" w:rsidR="009774FA" w:rsidRDefault="009774FA" w:rsidP="009774FA">
      <w:pPr>
        <w:rPr>
          <w:color w:val="595959"/>
          <w:sz w:val="24"/>
          <w:szCs w:val="24"/>
        </w:rPr>
      </w:pPr>
    </w:p>
    <w:p w14:paraId="599C78DE" w14:textId="77777777" w:rsidR="009774FA" w:rsidRDefault="009774FA" w:rsidP="009774FA">
      <w:pPr>
        <w:rPr>
          <w:color w:val="595959"/>
          <w:sz w:val="24"/>
          <w:szCs w:val="24"/>
        </w:rPr>
      </w:pPr>
    </w:p>
    <w:p w14:paraId="3B2E51F0" w14:textId="77777777" w:rsidR="009774FA" w:rsidRDefault="009774FA" w:rsidP="009774FA">
      <w:pPr>
        <w:rPr>
          <w:color w:val="595959"/>
          <w:sz w:val="24"/>
          <w:szCs w:val="24"/>
        </w:rPr>
      </w:pPr>
    </w:p>
    <w:p w14:paraId="2E54C694" w14:textId="77777777" w:rsidR="009774FA" w:rsidRDefault="009774FA" w:rsidP="009774FA">
      <w:pPr>
        <w:rPr>
          <w:color w:val="595959"/>
          <w:sz w:val="24"/>
          <w:szCs w:val="24"/>
        </w:rPr>
      </w:pPr>
    </w:p>
    <w:p w14:paraId="0331E83A" w14:textId="77777777" w:rsidR="009774FA" w:rsidRDefault="009774FA" w:rsidP="009774FA">
      <w:pPr>
        <w:rPr>
          <w:color w:val="595959"/>
          <w:sz w:val="24"/>
          <w:szCs w:val="24"/>
        </w:rPr>
      </w:pPr>
    </w:p>
    <w:p w14:paraId="0F02E1E2" w14:textId="77777777" w:rsidR="009774FA" w:rsidRDefault="009774FA" w:rsidP="009774FA">
      <w:pPr>
        <w:rPr>
          <w:color w:val="595959"/>
          <w:sz w:val="24"/>
          <w:szCs w:val="24"/>
        </w:rPr>
      </w:pPr>
    </w:p>
    <w:p w14:paraId="30A50AE4" w14:textId="77777777" w:rsidR="009774FA" w:rsidRDefault="009774FA" w:rsidP="009774FA">
      <w:pPr>
        <w:rPr>
          <w:color w:val="595959"/>
          <w:sz w:val="24"/>
          <w:szCs w:val="24"/>
        </w:rPr>
      </w:pPr>
    </w:p>
    <w:p w14:paraId="73C45712" w14:textId="77777777" w:rsidR="009774FA" w:rsidRDefault="009774FA" w:rsidP="009774FA">
      <w:pPr>
        <w:rPr>
          <w:color w:val="595959"/>
          <w:sz w:val="24"/>
          <w:szCs w:val="24"/>
        </w:rPr>
      </w:pPr>
    </w:p>
    <w:p w14:paraId="02C9B085" w14:textId="77777777" w:rsidR="009774FA" w:rsidRDefault="009774FA" w:rsidP="009774FA">
      <w:pPr>
        <w:rPr>
          <w:color w:val="595959"/>
          <w:sz w:val="24"/>
          <w:szCs w:val="24"/>
        </w:rPr>
      </w:pPr>
    </w:p>
    <w:p w14:paraId="3728340C" w14:textId="77777777" w:rsidR="009774FA" w:rsidRDefault="009774FA" w:rsidP="009774FA">
      <w:pPr>
        <w:rPr>
          <w:color w:val="595959"/>
          <w:sz w:val="24"/>
          <w:szCs w:val="24"/>
        </w:rPr>
      </w:pPr>
    </w:p>
    <w:p w14:paraId="650557F0" w14:textId="77777777" w:rsidR="009774FA" w:rsidRDefault="009774FA" w:rsidP="009774FA">
      <w:pPr>
        <w:rPr>
          <w:color w:val="595959"/>
          <w:sz w:val="24"/>
          <w:szCs w:val="24"/>
        </w:rPr>
      </w:pPr>
    </w:p>
    <w:p w14:paraId="6AAE6700" w14:textId="77777777" w:rsidR="009774FA" w:rsidRDefault="009774FA" w:rsidP="009774FA">
      <w:pPr>
        <w:rPr>
          <w:color w:val="595959"/>
          <w:sz w:val="24"/>
          <w:szCs w:val="24"/>
        </w:rPr>
      </w:pPr>
    </w:p>
    <w:p w14:paraId="5ABC0BF2" w14:textId="77777777" w:rsidR="009774FA" w:rsidRDefault="009774FA" w:rsidP="009774FA">
      <w:pPr>
        <w:rPr>
          <w:color w:val="595959"/>
          <w:sz w:val="24"/>
          <w:szCs w:val="24"/>
        </w:rPr>
      </w:pPr>
    </w:p>
    <w:p w14:paraId="0DD0A141" w14:textId="77777777" w:rsidR="009774FA" w:rsidRDefault="009774FA" w:rsidP="009774FA">
      <w:pPr>
        <w:rPr>
          <w:color w:val="595959"/>
          <w:sz w:val="24"/>
          <w:szCs w:val="24"/>
        </w:rPr>
      </w:pPr>
    </w:p>
    <w:p w14:paraId="451340C1" w14:textId="260D0193" w:rsidR="009774FA" w:rsidRPr="009774FA" w:rsidRDefault="009774FA" w:rsidP="009774FA">
      <w:pPr>
        <w:jc w:val="center"/>
        <w:rPr>
          <w:b/>
          <w:bCs/>
          <w:color w:val="595959"/>
          <w:sz w:val="36"/>
          <w:szCs w:val="36"/>
        </w:rPr>
      </w:pPr>
      <w:r w:rsidRPr="009774FA">
        <w:rPr>
          <w:b/>
          <w:bCs/>
          <w:color w:val="595959"/>
          <w:sz w:val="36"/>
          <w:szCs w:val="36"/>
        </w:rPr>
        <w:t>Fraud Detection Analytics</w:t>
      </w:r>
    </w:p>
    <w:p w14:paraId="5C17EDD5" w14:textId="2620861E" w:rsidR="009774FA" w:rsidRPr="009774FA" w:rsidRDefault="009774FA" w:rsidP="009774FA">
      <w:pPr>
        <w:jc w:val="center"/>
        <w:rPr>
          <w:b/>
          <w:bCs/>
          <w:color w:val="595959"/>
          <w:sz w:val="36"/>
          <w:szCs w:val="36"/>
        </w:rPr>
      </w:pPr>
      <w:r w:rsidRPr="009774FA">
        <w:rPr>
          <w:b/>
          <w:bCs/>
          <w:color w:val="595959"/>
          <w:sz w:val="36"/>
          <w:szCs w:val="36"/>
        </w:rPr>
        <w:t>Case Study</w:t>
      </w:r>
    </w:p>
    <w:p w14:paraId="6C4E7CC0" w14:textId="77777777" w:rsidR="009774FA" w:rsidRPr="009774FA" w:rsidRDefault="009774FA" w:rsidP="009774FA">
      <w:pPr>
        <w:jc w:val="center"/>
        <w:rPr>
          <w:b/>
          <w:bCs/>
          <w:color w:val="595959"/>
          <w:sz w:val="36"/>
          <w:szCs w:val="36"/>
        </w:rPr>
      </w:pPr>
    </w:p>
    <w:p w14:paraId="274F42DC" w14:textId="77777777" w:rsidR="009774FA" w:rsidRDefault="009774FA" w:rsidP="009774FA">
      <w:pPr>
        <w:jc w:val="center"/>
        <w:rPr>
          <w:color w:val="595959"/>
          <w:sz w:val="24"/>
          <w:szCs w:val="24"/>
        </w:rPr>
      </w:pPr>
    </w:p>
    <w:p w14:paraId="6659AE8E" w14:textId="14594E82" w:rsidR="009774FA" w:rsidRDefault="009774FA" w:rsidP="009774FA">
      <w:pPr>
        <w:jc w:val="center"/>
        <w:rPr>
          <w:color w:val="595959"/>
          <w:sz w:val="24"/>
          <w:szCs w:val="24"/>
        </w:rPr>
      </w:pPr>
      <w:r>
        <w:rPr>
          <w:color w:val="595959"/>
          <w:sz w:val="24"/>
          <w:szCs w:val="24"/>
        </w:rPr>
        <w:t>By:</w:t>
      </w:r>
    </w:p>
    <w:p w14:paraId="5ABF1843" w14:textId="60FDE075" w:rsidR="009774FA" w:rsidRDefault="009774FA" w:rsidP="009774FA">
      <w:pPr>
        <w:jc w:val="center"/>
        <w:rPr>
          <w:color w:val="595959"/>
          <w:sz w:val="24"/>
          <w:szCs w:val="24"/>
        </w:rPr>
      </w:pPr>
      <w:r>
        <w:rPr>
          <w:color w:val="595959"/>
          <w:sz w:val="24"/>
          <w:szCs w:val="24"/>
        </w:rPr>
        <w:t>Sejal Varma (25030242065)</w:t>
      </w:r>
    </w:p>
    <w:p w14:paraId="303E9ACB" w14:textId="770B03AA" w:rsidR="009774FA" w:rsidRDefault="009774FA" w:rsidP="009774FA">
      <w:pPr>
        <w:jc w:val="center"/>
        <w:rPr>
          <w:color w:val="595959"/>
          <w:sz w:val="24"/>
          <w:szCs w:val="24"/>
        </w:rPr>
      </w:pPr>
      <w:r>
        <w:rPr>
          <w:color w:val="595959"/>
          <w:sz w:val="24"/>
          <w:szCs w:val="24"/>
        </w:rPr>
        <w:t>Vyshak K (25030242067)</w:t>
      </w:r>
    </w:p>
    <w:p w14:paraId="5125D94B" w14:textId="77777777" w:rsidR="009774FA" w:rsidRDefault="009774FA" w:rsidP="009774FA">
      <w:pPr>
        <w:rPr>
          <w:color w:val="595959"/>
          <w:sz w:val="24"/>
          <w:szCs w:val="24"/>
        </w:rPr>
      </w:pPr>
    </w:p>
    <w:p w14:paraId="1806B88F" w14:textId="77777777" w:rsidR="009774FA" w:rsidRDefault="009774FA" w:rsidP="009774FA">
      <w:pPr>
        <w:rPr>
          <w:color w:val="595959"/>
          <w:sz w:val="24"/>
          <w:szCs w:val="24"/>
        </w:rPr>
      </w:pPr>
    </w:p>
    <w:p w14:paraId="25563BF1" w14:textId="77777777" w:rsidR="009774FA" w:rsidRDefault="009774FA" w:rsidP="009774FA">
      <w:pPr>
        <w:rPr>
          <w:color w:val="595959"/>
          <w:sz w:val="24"/>
          <w:szCs w:val="24"/>
        </w:rPr>
      </w:pPr>
    </w:p>
    <w:p w14:paraId="3AD6956C" w14:textId="77777777" w:rsidR="009774FA" w:rsidRDefault="009774FA" w:rsidP="009774FA">
      <w:pPr>
        <w:rPr>
          <w:color w:val="595959"/>
          <w:sz w:val="24"/>
          <w:szCs w:val="24"/>
        </w:rPr>
      </w:pPr>
    </w:p>
    <w:p w14:paraId="0BA20145" w14:textId="77777777" w:rsidR="009774FA" w:rsidRDefault="009774FA" w:rsidP="009774FA">
      <w:pPr>
        <w:rPr>
          <w:color w:val="595959"/>
          <w:sz w:val="24"/>
          <w:szCs w:val="24"/>
        </w:rPr>
      </w:pPr>
    </w:p>
    <w:p w14:paraId="5AEEC587" w14:textId="77777777" w:rsidR="009774FA" w:rsidRDefault="009774FA" w:rsidP="009774FA">
      <w:pPr>
        <w:rPr>
          <w:color w:val="595959"/>
          <w:sz w:val="24"/>
          <w:szCs w:val="24"/>
        </w:rPr>
      </w:pPr>
    </w:p>
    <w:p w14:paraId="08EC0B91" w14:textId="77777777" w:rsidR="009774FA" w:rsidRDefault="009774FA" w:rsidP="009774FA">
      <w:pPr>
        <w:rPr>
          <w:color w:val="595959"/>
          <w:sz w:val="24"/>
          <w:szCs w:val="24"/>
        </w:rPr>
      </w:pPr>
    </w:p>
    <w:p w14:paraId="0F7E6A45" w14:textId="77777777" w:rsidR="009774FA" w:rsidRDefault="009774FA" w:rsidP="009774FA">
      <w:pPr>
        <w:rPr>
          <w:color w:val="595959"/>
          <w:sz w:val="24"/>
          <w:szCs w:val="24"/>
        </w:rPr>
      </w:pPr>
    </w:p>
    <w:p w14:paraId="75D25BE2" w14:textId="77777777" w:rsidR="009774FA" w:rsidRDefault="009774FA" w:rsidP="009774FA">
      <w:pPr>
        <w:rPr>
          <w:color w:val="595959"/>
          <w:sz w:val="24"/>
          <w:szCs w:val="24"/>
        </w:rPr>
      </w:pPr>
    </w:p>
    <w:p w14:paraId="258B0E27" w14:textId="77777777" w:rsidR="009774FA" w:rsidRDefault="009774FA" w:rsidP="009774FA">
      <w:pPr>
        <w:rPr>
          <w:color w:val="595959"/>
          <w:sz w:val="24"/>
          <w:szCs w:val="24"/>
        </w:rPr>
      </w:pPr>
    </w:p>
    <w:p w14:paraId="497D8C4A" w14:textId="77777777" w:rsidR="009774FA" w:rsidRDefault="009774FA" w:rsidP="009774FA">
      <w:pPr>
        <w:rPr>
          <w:color w:val="595959"/>
          <w:sz w:val="24"/>
          <w:szCs w:val="24"/>
        </w:rPr>
      </w:pPr>
    </w:p>
    <w:p w14:paraId="5B12E83A" w14:textId="77777777" w:rsidR="009774FA" w:rsidRDefault="009774FA" w:rsidP="009774FA">
      <w:pPr>
        <w:rPr>
          <w:color w:val="595959"/>
          <w:sz w:val="24"/>
          <w:szCs w:val="24"/>
        </w:rPr>
      </w:pPr>
    </w:p>
    <w:p w14:paraId="36ACE324" w14:textId="77777777" w:rsidR="009774FA" w:rsidRDefault="009774FA" w:rsidP="009774FA">
      <w:pPr>
        <w:rPr>
          <w:color w:val="595959"/>
          <w:sz w:val="24"/>
          <w:szCs w:val="24"/>
        </w:rPr>
      </w:pPr>
    </w:p>
    <w:p w14:paraId="130C590C" w14:textId="77777777" w:rsidR="009774FA" w:rsidRDefault="009774FA" w:rsidP="009774FA">
      <w:pPr>
        <w:rPr>
          <w:color w:val="595959"/>
          <w:sz w:val="24"/>
          <w:szCs w:val="24"/>
        </w:rPr>
      </w:pPr>
    </w:p>
    <w:p w14:paraId="124709AC" w14:textId="77777777" w:rsidR="009774FA" w:rsidRDefault="009774FA" w:rsidP="009774FA">
      <w:pPr>
        <w:rPr>
          <w:color w:val="595959"/>
          <w:sz w:val="24"/>
          <w:szCs w:val="24"/>
        </w:rPr>
      </w:pPr>
    </w:p>
    <w:p w14:paraId="322AA26B" w14:textId="77777777" w:rsidR="009774FA" w:rsidRDefault="009774FA" w:rsidP="009774FA">
      <w:pPr>
        <w:rPr>
          <w:color w:val="595959"/>
          <w:sz w:val="24"/>
          <w:szCs w:val="24"/>
        </w:rPr>
      </w:pPr>
    </w:p>
    <w:p w14:paraId="7682439A" w14:textId="77777777" w:rsidR="009774FA" w:rsidRDefault="009774FA" w:rsidP="009774FA">
      <w:pPr>
        <w:rPr>
          <w:color w:val="595959"/>
          <w:sz w:val="24"/>
          <w:szCs w:val="24"/>
        </w:rPr>
      </w:pPr>
    </w:p>
    <w:p w14:paraId="0385095A" w14:textId="77777777" w:rsidR="009774FA" w:rsidRDefault="009774FA" w:rsidP="009774FA">
      <w:pPr>
        <w:rPr>
          <w:color w:val="595959"/>
          <w:sz w:val="24"/>
          <w:szCs w:val="24"/>
        </w:rPr>
      </w:pPr>
    </w:p>
    <w:p w14:paraId="6A2A6655" w14:textId="77777777" w:rsidR="009774FA" w:rsidRDefault="009774FA" w:rsidP="009774FA">
      <w:pPr>
        <w:rPr>
          <w:color w:val="595959"/>
          <w:sz w:val="24"/>
          <w:szCs w:val="24"/>
        </w:rPr>
      </w:pPr>
    </w:p>
    <w:p w14:paraId="03586C9F" w14:textId="77777777" w:rsidR="009774FA" w:rsidRDefault="009774FA" w:rsidP="009774FA">
      <w:pPr>
        <w:rPr>
          <w:color w:val="595959"/>
          <w:sz w:val="24"/>
          <w:szCs w:val="24"/>
        </w:rPr>
      </w:pPr>
    </w:p>
    <w:p w14:paraId="602EC597" w14:textId="77777777" w:rsidR="009774FA" w:rsidRDefault="009774FA" w:rsidP="009774FA">
      <w:pPr>
        <w:rPr>
          <w:color w:val="595959"/>
          <w:sz w:val="24"/>
          <w:szCs w:val="24"/>
        </w:rPr>
      </w:pPr>
    </w:p>
    <w:p w14:paraId="4F389AB8" w14:textId="3DEA9CE8" w:rsidR="00AC0038" w:rsidRDefault="00000000">
      <w:pPr>
        <w:spacing w:after="80"/>
      </w:pPr>
      <w:r>
        <w:rPr>
          <w:color w:val="595959"/>
          <w:sz w:val="24"/>
          <w:szCs w:val="24"/>
        </w:rPr>
        <w:t>Case Study Report</w:t>
      </w:r>
    </w:p>
    <w:p w14:paraId="49946161" w14:textId="77777777" w:rsidR="00AC0038" w:rsidRDefault="00000000">
      <w:pPr>
        <w:spacing w:after="80"/>
      </w:pPr>
      <w:r>
        <w:rPr>
          <w:b/>
          <w:bCs/>
          <w:sz w:val="44"/>
          <w:szCs w:val="44"/>
        </w:rPr>
        <w:t>The IL&amp;FS Collapse (2018)</w:t>
      </w:r>
    </w:p>
    <w:p w14:paraId="5C68AC97" w14:textId="77777777" w:rsidR="00AC0038" w:rsidRDefault="00000000">
      <w:pPr>
        <w:pBdr>
          <w:bottom w:val="single" w:sz="8" w:space="6" w:color="000000"/>
        </w:pBdr>
        <w:spacing w:after="280"/>
      </w:pPr>
      <w:r>
        <w:rPr>
          <w:i/>
          <w:iCs/>
          <w:sz w:val="24"/>
          <w:szCs w:val="24"/>
        </w:rPr>
        <w:t>Alleged Fraud Mechanisms, Governance Failures and an Analytics Framework for Detection</w:t>
      </w:r>
    </w:p>
    <w:p w14:paraId="36B1FB57" w14:textId="77777777" w:rsidR="00AC0038" w:rsidRDefault="00000000">
      <w:pPr>
        <w:pStyle w:val="Heading1"/>
      </w:pPr>
      <w:r>
        <w:t>1. Background</w:t>
      </w:r>
    </w:p>
    <w:p w14:paraId="65041451" w14:textId="77777777" w:rsidR="00AC0038" w:rsidRDefault="00000000">
      <w:pPr>
        <w:spacing w:after="160" w:line="276" w:lineRule="auto"/>
        <w:jc w:val="both"/>
      </w:pPr>
      <w:r>
        <w:t>Infrastructure Leasing &amp; Financial Services (IL&amp;FS) was a major infrastructure financier and a systemically important non-banking financial company (NBFC). The group comprised at least 24 direct subsidiaries, 135 indirect subsidiaries, six joint ventures and four associates. It carried high credit ratings and was trusted by banks, mutual funds and pension funds.</w:t>
      </w:r>
    </w:p>
    <w:p w14:paraId="688C4DDA" w14:textId="77777777" w:rsidR="00AC0038" w:rsidRDefault="00000000">
      <w:pPr>
        <w:pStyle w:val="Heading1"/>
      </w:pPr>
      <w:r>
        <w:t>2. The Crisis and Alleged Fraud</w:t>
      </w:r>
    </w:p>
    <w:p w14:paraId="699389A5" w14:textId="77777777" w:rsidR="00AC0038" w:rsidRDefault="00000000">
      <w:pPr>
        <w:spacing w:after="160" w:line="276" w:lineRule="auto"/>
        <w:jc w:val="both"/>
      </w:pPr>
      <w:r>
        <w:t>Between July and September 2018, two group subsidiaries had trouble repaying loans and inter-corporate deposits, and the group’s debt stood at more than Rs 91,000 crore. A series of defaults between June and September 2018 threatened to freeze India’s money markets. The corporate affairs ministry superseded the board in October 2018.</w:t>
      </w:r>
    </w:p>
    <w:p w14:paraId="5C147CE5" w14:textId="77777777" w:rsidR="00AC0038" w:rsidRDefault="00000000">
      <w:pPr>
        <w:spacing w:after="160" w:line="276" w:lineRule="auto"/>
        <w:jc w:val="both"/>
      </w:pPr>
      <w:r>
        <w:t>Investigators later alleged that the problem was not only one of liquidity, but also of the concealment of weak assets through the books.</w:t>
      </w:r>
    </w:p>
    <w:p w14:paraId="190843FF" w14:textId="77777777" w:rsidR="00AC0038" w:rsidRDefault="00000000">
      <w:pPr>
        <w:pStyle w:val="Heading1"/>
      </w:pPr>
      <w:r>
        <w:t>3. Alleged Mechanisms</w:t>
      </w:r>
    </w:p>
    <w:p w14:paraId="6D254934" w14:textId="77777777" w:rsidR="00AC0038" w:rsidRDefault="00000000">
      <w:pPr>
        <w:spacing w:after="160" w:line="276" w:lineRule="auto"/>
        <w:jc w:val="both"/>
      </w:pPr>
      <w:r>
        <w:t>The following mechanisms have been alleged by investigators and are subject to ongoing legal proceedings.</w:t>
      </w:r>
    </w:p>
    <w:p w14:paraId="4A76393D" w14:textId="77777777" w:rsidR="00AC0038" w:rsidRDefault="00000000">
      <w:pPr>
        <w:pStyle w:val="ListParagraph"/>
        <w:numPr>
          <w:ilvl w:val="0"/>
          <w:numId w:val="2"/>
        </w:numPr>
        <w:spacing w:after="100" w:line="276" w:lineRule="auto"/>
      </w:pPr>
      <w:r>
        <w:rPr>
          <w:b/>
          <w:bCs/>
        </w:rPr>
        <w:t xml:space="preserve">Loan evergreening. </w:t>
      </w:r>
      <w:r>
        <w:t>The Serious Fraud Investigation Office (SFIO) alleged that IL&amp;FS Financial Services (IFIN) gave fresh loans to a group so that it could repay an earlier one, despite unpaid interest and overdue principal. The groups named in its sheets include SKIL, Unitech, HDIL and ABG.</w:t>
      </w:r>
    </w:p>
    <w:p w14:paraId="347EC1FC" w14:textId="77777777" w:rsidR="00AC0038" w:rsidRDefault="00000000">
      <w:pPr>
        <w:pStyle w:val="ListParagraph"/>
        <w:numPr>
          <w:ilvl w:val="0"/>
          <w:numId w:val="2"/>
        </w:numPr>
        <w:spacing w:after="100" w:line="276" w:lineRule="auto"/>
      </w:pPr>
      <w:r>
        <w:rPr>
          <w:b/>
          <w:bCs/>
        </w:rPr>
        <w:t xml:space="preserve">Circular lending. </w:t>
      </w:r>
      <w:r>
        <w:t>Rs 125 crore was disbursed to the Unitech group to help clear its dues to the Siva group, which then cleared loans owed to IFIN.</w:t>
      </w:r>
    </w:p>
    <w:p w14:paraId="7DE4BECE" w14:textId="77777777" w:rsidR="00AC0038" w:rsidRDefault="00000000">
      <w:pPr>
        <w:pStyle w:val="ListParagraph"/>
        <w:numPr>
          <w:ilvl w:val="0"/>
          <w:numId w:val="2"/>
        </w:numPr>
        <w:spacing w:after="100" w:line="276" w:lineRule="auto"/>
      </w:pPr>
      <w:r>
        <w:rPr>
          <w:b/>
          <w:bCs/>
        </w:rPr>
        <w:t xml:space="preserve">Window dressing for ratings. </w:t>
      </w:r>
      <w:r>
        <w:t>IFIN and other group entities continued to enjoy high ratings, partly due to window-dressing of the books.</w:t>
      </w:r>
    </w:p>
    <w:p w14:paraId="4B78D202" w14:textId="77777777" w:rsidR="00AC0038" w:rsidRDefault="00000000">
      <w:pPr>
        <w:pStyle w:val="ListParagraph"/>
        <w:numPr>
          <w:ilvl w:val="0"/>
          <w:numId w:val="2"/>
        </w:numPr>
        <w:spacing w:after="100" w:line="276" w:lineRule="auto"/>
      </w:pPr>
      <w:r>
        <w:rPr>
          <w:b/>
          <w:bCs/>
        </w:rPr>
        <w:t xml:space="preserve">Opaque group structure. </w:t>
      </w:r>
      <w:r>
        <w:t>Hundreds of entities made exposures and related-party links hard to see.</w:t>
      </w:r>
    </w:p>
    <w:p w14:paraId="751D633A" w14:textId="77777777" w:rsidR="00AC0038" w:rsidRDefault="00000000">
      <w:pPr>
        <w:pStyle w:val="ListParagraph"/>
        <w:numPr>
          <w:ilvl w:val="0"/>
          <w:numId w:val="2"/>
        </w:numPr>
        <w:spacing w:after="100" w:line="276" w:lineRule="auto"/>
      </w:pPr>
      <w:r>
        <w:rPr>
          <w:b/>
          <w:bCs/>
        </w:rPr>
        <w:t xml:space="preserve">Ignored warnings. </w:t>
      </w:r>
      <w:r>
        <w:t>A probe reportedly found that top management hushed up a whistleblower’s fraud warning in 2017.</w:t>
      </w:r>
    </w:p>
    <w:p w14:paraId="0374935F" w14:textId="77777777" w:rsidR="00AC0038" w:rsidRDefault="00AC0038">
      <w:pPr>
        <w:spacing w:after="120"/>
      </w:pPr>
    </w:p>
    <w:p w14:paraId="2A465B2F" w14:textId="77777777" w:rsidR="00AC0038" w:rsidRDefault="00000000">
      <w:pPr>
        <w:pStyle w:val="Heading1"/>
      </w:pPr>
      <w:r>
        <w:lastRenderedPageBreak/>
        <w:t>4.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AC0038" w14:paraId="64BB21E5"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824F256" w14:textId="77777777" w:rsidR="00AC0038" w:rsidRDefault="00000000">
            <w:r>
              <w:rPr>
                <w:b/>
                <w:bCs/>
                <w:sz w:val="21"/>
                <w:szCs w:val="21"/>
              </w:rPr>
              <w:t>Date</w:t>
            </w:r>
          </w:p>
        </w:tc>
        <w:tc>
          <w:tcPr>
            <w:tcW w:w="7026"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6C71CC65" w14:textId="77777777" w:rsidR="00AC0038" w:rsidRDefault="00000000">
            <w:r>
              <w:rPr>
                <w:b/>
                <w:bCs/>
                <w:sz w:val="21"/>
                <w:szCs w:val="21"/>
              </w:rPr>
              <w:t>Event</w:t>
            </w:r>
          </w:p>
        </w:tc>
      </w:tr>
      <w:tr w:rsidR="00AC0038" w14:paraId="2D5A1FC1"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103AE9" w14:textId="77777777" w:rsidR="00AC0038" w:rsidRDefault="00000000">
            <w:r>
              <w:rPr>
                <w:sz w:val="21"/>
                <w:szCs w:val="21"/>
              </w:rPr>
              <w:t>2017</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B0EBFD" w14:textId="77777777" w:rsidR="00AC0038" w:rsidRDefault="00000000">
            <w:r>
              <w:rPr>
                <w:sz w:val="21"/>
                <w:szCs w:val="21"/>
              </w:rPr>
              <w:t>Whistleblower warning allegedly suppressed.</w:t>
            </w:r>
          </w:p>
        </w:tc>
      </w:tr>
      <w:tr w:rsidR="00AC0038" w14:paraId="44696151"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80F698" w14:textId="77777777" w:rsidR="00AC0038" w:rsidRDefault="00000000">
            <w:r>
              <w:rPr>
                <w:sz w:val="21"/>
                <w:szCs w:val="21"/>
              </w:rPr>
              <w:t>Jun–Sep 2018</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8109FF" w14:textId="77777777" w:rsidR="00AC0038" w:rsidRDefault="00000000">
            <w:r>
              <w:rPr>
                <w:sz w:val="21"/>
                <w:szCs w:val="21"/>
              </w:rPr>
              <w:t>Group entities begin defaulting.</w:t>
            </w:r>
          </w:p>
        </w:tc>
      </w:tr>
      <w:tr w:rsidR="00AC0038" w14:paraId="19F120EA"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C726A3" w14:textId="77777777" w:rsidR="00AC0038" w:rsidRDefault="00000000">
            <w:r>
              <w:rPr>
                <w:sz w:val="21"/>
                <w:szCs w:val="21"/>
              </w:rPr>
              <w:t>Oct 2018</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21F643" w14:textId="77777777" w:rsidR="00AC0038" w:rsidRDefault="00000000">
            <w:r>
              <w:rPr>
                <w:sz w:val="21"/>
                <w:szCs w:val="21"/>
              </w:rPr>
              <w:t>The government supersedes the board and appoints a new one.</w:t>
            </w:r>
          </w:p>
        </w:tc>
      </w:tr>
      <w:tr w:rsidR="00AC0038" w14:paraId="4F265C78"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8869CD" w14:textId="77777777" w:rsidR="00AC0038" w:rsidRDefault="00000000">
            <w:r>
              <w:rPr>
                <w:sz w:val="21"/>
                <w:szCs w:val="21"/>
              </w:rPr>
              <w:t>May 2019</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64FD189" w14:textId="77777777" w:rsidR="00AC0038" w:rsidRDefault="00000000">
            <w:r>
              <w:rPr>
                <w:sz w:val="21"/>
                <w:szCs w:val="21"/>
              </w:rPr>
              <w:t>The SFIO submits a chargesheet against 30 parties, including two auditor firms.</w:t>
            </w:r>
          </w:p>
        </w:tc>
      </w:tr>
      <w:tr w:rsidR="00AC0038" w14:paraId="4C109A29"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B6506C" w14:textId="77777777" w:rsidR="00AC0038" w:rsidRDefault="00000000">
            <w:r>
              <w:rPr>
                <w:sz w:val="21"/>
                <w:szCs w:val="21"/>
              </w:rPr>
              <w:t>Aug 2019</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37F722" w14:textId="77777777" w:rsidR="00AC0038" w:rsidRDefault="00000000">
            <w:r>
              <w:rPr>
                <w:sz w:val="21"/>
                <w:szCs w:val="21"/>
              </w:rPr>
              <w:t>The Enforcement Directorate (ED) files its first chargesheet in the money-laundering case.</w:t>
            </w:r>
          </w:p>
        </w:tc>
      </w:tr>
      <w:tr w:rsidR="00AC0038" w14:paraId="1F7A520F" w14:textId="77777777">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3F6E353" w14:textId="77777777" w:rsidR="00AC0038" w:rsidRDefault="00000000">
            <w:r>
              <w:rPr>
                <w:sz w:val="21"/>
                <w:szCs w:val="21"/>
              </w:rPr>
              <w:t>2019–21</w:t>
            </w:r>
          </w:p>
        </w:tc>
        <w:tc>
          <w:tcPr>
            <w:tcW w:w="7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7BA51F" w14:textId="77777777" w:rsidR="00AC0038" w:rsidRDefault="00000000">
            <w:r>
              <w:rPr>
                <w:sz w:val="21"/>
                <w:szCs w:val="21"/>
              </w:rPr>
              <w:t>BSR &amp; Associates resigns as IFIN’s auditor in June 2019. IL&amp;FS later states that it has addressed about Rs 43,000 crore of debt against a resolution target of Rs 61,000 crore.</w:t>
            </w:r>
          </w:p>
        </w:tc>
      </w:tr>
    </w:tbl>
    <w:p w14:paraId="32AABAFA" w14:textId="77777777" w:rsidR="00AC0038" w:rsidRDefault="00AC0038">
      <w:pPr>
        <w:spacing w:after="120"/>
      </w:pPr>
    </w:p>
    <w:p w14:paraId="5AD3E521" w14:textId="77777777" w:rsidR="00AC0038" w:rsidRDefault="00000000">
      <w:pPr>
        <w:pStyle w:val="Heading1"/>
      </w:pPr>
      <w:r>
        <w:t>5. Audit, Rating and Governance Failures</w:t>
      </w:r>
    </w:p>
    <w:p w14:paraId="0E0A1ACD" w14:textId="77777777" w:rsidR="00AC0038" w:rsidRDefault="00000000">
      <w:pPr>
        <w:pStyle w:val="Heading2"/>
      </w:pPr>
      <w:r>
        <w:t>5.1 Auditors</w:t>
      </w:r>
    </w:p>
    <w:p w14:paraId="34B2EEF5" w14:textId="77777777" w:rsidR="00AC0038" w:rsidRDefault="00000000">
      <w:pPr>
        <w:spacing w:after="160" w:line="276" w:lineRule="auto"/>
        <w:jc w:val="both"/>
      </w:pPr>
      <w:r>
        <w:t>The SFIO alleged that Deloitte knew of the evergreening but did not act, citing documents found on the IL&amp;FS email server. It also alleged that the auditors sought to sell products and services to the management. Deloitte and BSR have contested the charges and the tribunal’s jurisdiction.</w:t>
      </w:r>
    </w:p>
    <w:p w14:paraId="4F860797" w14:textId="77777777" w:rsidR="00AC0038" w:rsidRDefault="00000000">
      <w:pPr>
        <w:pStyle w:val="Heading2"/>
      </w:pPr>
      <w:r>
        <w:t>5.2 Rating Agencies</w:t>
      </w:r>
    </w:p>
    <w:p w14:paraId="63DE1CD8" w14:textId="77777777" w:rsidR="00AC0038" w:rsidRDefault="00000000">
      <w:pPr>
        <w:spacing w:after="160" w:line="276" w:lineRule="auto"/>
        <w:jc w:val="both"/>
      </w:pPr>
      <w:r>
        <w:t>Ratings stayed high despite mounting stress, and a conflict-of-interest probe involved a Fitch official.</w:t>
      </w:r>
    </w:p>
    <w:p w14:paraId="5B05875F" w14:textId="77777777" w:rsidR="00AC0038" w:rsidRDefault="00000000">
      <w:pPr>
        <w:pStyle w:val="Heading2"/>
      </w:pPr>
      <w:r>
        <w:t>5.3 Governance</w:t>
      </w:r>
    </w:p>
    <w:p w14:paraId="7E273FD8" w14:textId="77777777" w:rsidR="00AC0038" w:rsidRDefault="00000000">
      <w:pPr>
        <w:spacing w:after="160" w:line="276" w:lineRule="auto"/>
        <w:jc w:val="both"/>
      </w:pPr>
      <w:r>
        <w:t>The group exhibited weak independent challenge, related-party lending and an ignored whistleblower.</w:t>
      </w:r>
    </w:p>
    <w:p w14:paraId="42C936BB" w14:textId="77777777" w:rsidR="00AC0038" w:rsidRDefault="00000000">
      <w:pPr>
        <w:pStyle w:val="Heading2"/>
      </w:pPr>
      <w:r>
        <w:t>5.4 Regulation</w:t>
      </w:r>
    </w:p>
    <w:p w14:paraId="3C45881D" w14:textId="77777777" w:rsidR="00AC0038" w:rsidRDefault="00000000">
      <w:pPr>
        <w:spacing w:after="160" w:line="276" w:lineRule="auto"/>
        <w:jc w:val="both"/>
      </w:pPr>
      <w:r>
        <w:t>Several regulators each saw part of the picture, but there was no consolidated group-level view of risk.</w:t>
      </w:r>
    </w:p>
    <w:p w14:paraId="528394C1" w14:textId="77777777" w:rsidR="00AC0038" w:rsidRDefault="00000000">
      <w:pPr>
        <w:pStyle w:val="Heading1"/>
      </w:pPr>
      <w:r>
        <w:t>6. Consequences</w:t>
      </w:r>
    </w:p>
    <w:p w14:paraId="1CEE9040" w14:textId="77777777" w:rsidR="00AC0038" w:rsidRDefault="00000000">
      <w:pPr>
        <w:spacing w:after="160" w:line="276" w:lineRule="auto"/>
        <w:jc w:val="both"/>
      </w:pPr>
      <w:r>
        <w:t>The default hit money markets and fed the wider NBFC liquidity crunch of 2018–19. The new board adopted an asset-by-asset resolution approach, selling or restructuring entities individually. Deloitte and BSR faced scrutiny from six investigative and regulatory agencies. More broadly, the case drove tougher scrutiny of auditor independence, rating agencies and NBFC supervision.</w:t>
      </w:r>
    </w:p>
    <w:p w14:paraId="07209C74" w14:textId="77777777" w:rsidR="00AC0038" w:rsidRDefault="00000000">
      <w:pPr>
        <w:pStyle w:val="Heading1"/>
      </w:pPr>
      <w:r>
        <w:t>7. Red Flags</w:t>
      </w:r>
    </w:p>
    <w:p w14:paraId="091EC045" w14:textId="77777777" w:rsidR="00AC0038" w:rsidRDefault="00000000">
      <w:pPr>
        <w:pStyle w:val="ListParagraph"/>
        <w:numPr>
          <w:ilvl w:val="0"/>
          <w:numId w:val="2"/>
        </w:numPr>
        <w:spacing w:after="100" w:line="276" w:lineRule="auto"/>
      </w:pPr>
      <w:r>
        <w:t>Fresh loans to borrowers with overdue interest and principal.</w:t>
      </w:r>
    </w:p>
    <w:p w14:paraId="7BC2DE65" w14:textId="77777777" w:rsidR="00AC0038" w:rsidRDefault="00000000">
      <w:pPr>
        <w:pStyle w:val="ListParagraph"/>
        <w:numPr>
          <w:ilvl w:val="0"/>
          <w:numId w:val="2"/>
        </w:numPr>
        <w:spacing w:after="100" w:line="276" w:lineRule="auto"/>
      </w:pPr>
      <w:r>
        <w:t>A very large number of group entities with heavy intra-group exposure.</w:t>
      </w:r>
    </w:p>
    <w:p w14:paraId="7DDAC5E5" w14:textId="77777777" w:rsidR="00AC0038" w:rsidRDefault="00000000">
      <w:pPr>
        <w:pStyle w:val="ListParagraph"/>
        <w:numPr>
          <w:ilvl w:val="0"/>
          <w:numId w:val="2"/>
        </w:numPr>
        <w:spacing w:after="100" w:line="276" w:lineRule="auto"/>
      </w:pPr>
      <w:r>
        <w:t>Short-term borrowing funding long-gestation infrastructure (asset-liability mismatch).</w:t>
      </w:r>
    </w:p>
    <w:p w14:paraId="4CE6D01C" w14:textId="77777777" w:rsidR="00AC0038" w:rsidRDefault="00000000">
      <w:pPr>
        <w:pStyle w:val="ListParagraph"/>
        <w:numPr>
          <w:ilvl w:val="0"/>
          <w:numId w:val="2"/>
        </w:numPr>
        <w:spacing w:after="100" w:line="276" w:lineRule="auto"/>
      </w:pPr>
      <w:r>
        <w:lastRenderedPageBreak/>
        <w:t>High ratings unchanged while repayment stress grew.</w:t>
      </w:r>
    </w:p>
    <w:p w14:paraId="4DCAADFE" w14:textId="77777777" w:rsidR="00AC0038" w:rsidRDefault="00000000">
      <w:pPr>
        <w:pStyle w:val="ListParagraph"/>
        <w:numPr>
          <w:ilvl w:val="0"/>
          <w:numId w:val="2"/>
        </w:numPr>
        <w:spacing w:after="100" w:line="276" w:lineRule="auto"/>
      </w:pPr>
      <w:r>
        <w:t>Reported interest income diverging from cash actually received.</w:t>
      </w:r>
    </w:p>
    <w:p w14:paraId="7381D1B8" w14:textId="77777777" w:rsidR="00AC0038" w:rsidRDefault="00AC0038">
      <w:pPr>
        <w:spacing w:after="120"/>
      </w:pPr>
    </w:p>
    <w:p w14:paraId="565787FD" w14:textId="77777777" w:rsidR="00AC0038" w:rsidRDefault="00000000">
      <w:pPr>
        <w:pStyle w:val="Heading1"/>
      </w:pPr>
      <w:r>
        <w:t>8. Analytics Framework</w:t>
      </w:r>
    </w:p>
    <w:p w14:paraId="7708D065" w14:textId="77777777" w:rsidR="00AC0038" w:rsidRDefault="00000000">
      <w:pPr>
        <w:spacing w:after="160" w:line="276" w:lineRule="auto"/>
        <w:jc w:val="both"/>
      </w:pPr>
      <w:r>
        <w:t>The table below sets out analytical techniques suited to detecting the patterns observed in this case. Graph analytics is the strongest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C0038" w14:paraId="3BAE29D0"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282FAA94" w14:textId="77777777" w:rsidR="00AC0038" w:rsidRDefault="00000000">
            <w:r>
              <w:rPr>
                <w:b/>
                <w:bCs/>
                <w:sz w:val="21"/>
                <w:szCs w:val="21"/>
              </w:rPr>
              <w:t>Technique</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80" w:type="dxa"/>
              <w:left w:w="120" w:type="dxa"/>
              <w:bottom w:w="80" w:type="dxa"/>
              <w:right w:w="120" w:type="dxa"/>
            </w:tcMar>
          </w:tcPr>
          <w:p w14:paraId="47AFBB38" w14:textId="77777777" w:rsidR="00AC0038" w:rsidRDefault="00000000">
            <w:r>
              <w:rPr>
                <w:b/>
                <w:bCs/>
                <w:sz w:val="21"/>
                <w:szCs w:val="21"/>
              </w:rPr>
              <w:t>Application</w:t>
            </w:r>
          </w:p>
        </w:tc>
      </w:tr>
      <w:tr w:rsidR="00AC0038" w14:paraId="7133BC64"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86DB91" w14:textId="77777777" w:rsidR="00AC0038" w:rsidRDefault="00000000">
            <w:r>
              <w:rPr>
                <w:sz w:val="21"/>
                <w:szCs w:val="21"/>
              </w:rPr>
              <w:t>Graph analytics</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7A21CB3" w14:textId="77777777" w:rsidR="00AC0038" w:rsidRDefault="00000000">
            <w:r>
              <w:rPr>
                <w:sz w:val="21"/>
                <w:szCs w:val="21"/>
              </w:rPr>
              <w:t>Map the 400+ entities, directors, lenders and borrowers to see group exposure and circular flows. This is the strongest fit for this case.</w:t>
            </w:r>
          </w:p>
        </w:tc>
      </w:tr>
      <w:tr w:rsidR="00AC0038" w14:paraId="4F569AA0"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CF3F76" w14:textId="77777777" w:rsidR="00AC0038" w:rsidRDefault="00000000">
            <w:r>
              <w:rPr>
                <w:sz w:val="21"/>
                <w:szCs w:val="21"/>
              </w:rPr>
              <w:t>Evergreening detection</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C28AE0" w14:textId="77777777" w:rsidR="00AC0038" w:rsidRDefault="00000000">
            <w:r>
              <w:rPr>
                <w:sz w:val="21"/>
                <w:szCs w:val="21"/>
              </w:rPr>
              <w:t>Flag new disbursals that closely follow or match an overdue repayment from the same borrower or group.</w:t>
            </w:r>
          </w:p>
        </w:tc>
      </w:tr>
      <w:tr w:rsidR="00AC0038" w14:paraId="246EDDC1"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6D1A7" w14:textId="77777777" w:rsidR="00AC0038" w:rsidRDefault="00000000">
            <w:r>
              <w:rPr>
                <w:sz w:val="21"/>
                <w:szCs w:val="21"/>
              </w:rPr>
              <w:t>Isolation Forest</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55D23B" w14:textId="77777777" w:rsidR="00AC0038" w:rsidRDefault="00000000">
            <w:r>
              <w:rPr>
                <w:sz w:val="21"/>
                <w:szCs w:val="21"/>
              </w:rPr>
              <w:t>Find accounts whose disbursal, repayment and overdue behaviour differ from the rest of the book.</w:t>
            </w:r>
          </w:p>
        </w:tc>
      </w:tr>
      <w:tr w:rsidR="00AC0038" w14:paraId="0FE56415"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C3DF10E" w14:textId="77777777" w:rsidR="00AC0038" w:rsidRDefault="00000000">
            <w:r>
              <w:rPr>
                <w:sz w:val="21"/>
                <w:szCs w:val="21"/>
              </w:rPr>
              <w:t>DBSCAN</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F558BE9" w14:textId="77777777" w:rsidR="00AC0038" w:rsidRDefault="00000000">
            <w:r>
              <w:rPr>
                <w:sz w:val="21"/>
                <w:szCs w:val="21"/>
              </w:rPr>
              <w:t>Cluster borrowers by group, sector and repayment pattern to reveal hidden stressed clusters.</w:t>
            </w:r>
          </w:p>
        </w:tc>
      </w:tr>
      <w:tr w:rsidR="00AC0038" w14:paraId="28CD8929"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E3D259C" w14:textId="77777777" w:rsidR="00AC0038" w:rsidRDefault="00000000">
            <w:r>
              <w:rPr>
                <w:sz w:val="21"/>
                <w:szCs w:val="21"/>
              </w:rPr>
              <w:t>Benford’s Law</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D8C36A" w14:textId="77777777" w:rsidR="00AC0038" w:rsidRDefault="00000000">
            <w:r>
              <w:rPr>
                <w:sz w:val="21"/>
                <w:szCs w:val="21"/>
              </w:rPr>
              <w:t>Test loan and interest figures for manipulation.</w:t>
            </w:r>
          </w:p>
        </w:tc>
      </w:tr>
      <w:tr w:rsidR="00AC0038" w14:paraId="1B1F08D7"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3A097" w14:textId="77777777" w:rsidR="00AC0038" w:rsidRDefault="00000000">
            <w:r>
              <w:rPr>
                <w:sz w:val="21"/>
                <w:szCs w:val="21"/>
              </w:rPr>
              <w:t>Early warning indicators</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04B1A0" w14:textId="77777777" w:rsidR="00AC0038" w:rsidRDefault="00000000">
            <w:r>
              <w:rPr>
                <w:sz w:val="21"/>
                <w:szCs w:val="21"/>
              </w:rPr>
              <w:t>Track accrued vs. received interest, rating vs. repayment behaviour, and group concentration.</w:t>
            </w:r>
          </w:p>
        </w:tc>
      </w:tr>
      <w:tr w:rsidR="00AC0038" w14:paraId="4921F722" w14:textId="77777777">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A2DF0C" w14:textId="77777777" w:rsidR="00AC0038" w:rsidRDefault="00000000">
            <w:r>
              <w:rPr>
                <w:sz w:val="21"/>
                <w:szCs w:val="21"/>
              </w:rPr>
              <w:t>Continuous auditing</w:t>
            </w:r>
          </w:p>
        </w:tc>
        <w:tc>
          <w:tcPr>
            <w:tcW w:w="66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539903" w14:textId="77777777" w:rsidR="00AC0038" w:rsidRDefault="00000000">
            <w:r>
              <w:rPr>
                <w:sz w:val="21"/>
                <w:szCs w:val="21"/>
              </w:rPr>
              <w:t>Test the whole loan book, not samples, with immutable logs.</w:t>
            </w:r>
          </w:p>
        </w:tc>
      </w:tr>
    </w:tbl>
    <w:p w14:paraId="3712B489" w14:textId="77777777" w:rsidR="00AC0038" w:rsidRDefault="00AC0038">
      <w:pPr>
        <w:spacing w:after="120"/>
      </w:pPr>
    </w:p>
    <w:p w14:paraId="63A4B5CC" w14:textId="4695F6AF" w:rsidR="00AC0038" w:rsidRDefault="00000000">
      <w:pPr>
        <w:pStyle w:val="Heading1"/>
      </w:pPr>
      <w:r>
        <w:t xml:space="preserve">9. </w:t>
      </w:r>
      <w:r w:rsidR="003E2390">
        <w:t>References</w:t>
      </w:r>
    </w:p>
    <w:p w14:paraId="49CEE5E6" w14:textId="77777777" w:rsidR="003E2390" w:rsidRDefault="003E2390" w:rsidP="003E2390">
      <w:pPr>
        <w:numPr>
          <w:ilvl w:val="0"/>
          <w:numId w:val="3"/>
        </w:numPr>
        <w:spacing w:before="100" w:beforeAutospacing="1" w:after="100" w:afterAutospacing="1"/>
      </w:pPr>
      <w:r>
        <w:t xml:space="preserve">Bar &amp; Bench. The IL&amp;FS Insolvency case: A summary of the journey so far. </w:t>
      </w:r>
      <w:hyperlink r:id="rId8" w:history="1">
        <w:r>
          <w:rPr>
            <w:rStyle w:val="Hyperlink"/>
          </w:rPr>
          <w:t>https://www.barandbench.com/columns/litigation-columns/ilfs-insolvency-the-journey-so-far</w:t>
        </w:r>
      </w:hyperlink>
    </w:p>
    <w:p w14:paraId="215680E6" w14:textId="77777777" w:rsidR="003E2390" w:rsidRDefault="003E2390" w:rsidP="003E2390">
      <w:pPr>
        <w:numPr>
          <w:ilvl w:val="0"/>
          <w:numId w:val="3"/>
        </w:numPr>
        <w:spacing w:before="100" w:beforeAutospacing="1" w:after="100" w:afterAutospacing="1"/>
      </w:pPr>
      <w:r>
        <w:t xml:space="preserve">BW Businessworld. (2023, May 10). In Money-laundering Case, ED Raids Offices of Two Former IL&amp;FS Auditors. </w:t>
      </w:r>
      <w:hyperlink r:id="rId9" w:history="1">
        <w:r>
          <w:rPr>
            <w:rStyle w:val="Hyperlink"/>
          </w:rPr>
          <w:t>https://www.businessworld.in/article/In-Money-laundering-Case-ED-Raids-Offices-Of-Two-Former-IL-FS-Auditors/10-05-2023-476084/</w:t>
        </w:r>
      </w:hyperlink>
    </w:p>
    <w:p w14:paraId="0E9BB0F4" w14:textId="77777777" w:rsidR="003E2390" w:rsidRDefault="003E2390" w:rsidP="003E2390">
      <w:pPr>
        <w:numPr>
          <w:ilvl w:val="0"/>
          <w:numId w:val="3"/>
        </w:numPr>
        <w:spacing w:before="100" w:beforeAutospacing="1" w:after="100" w:afterAutospacing="1"/>
      </w:pPr>
      <w:r>
        <w:t xml:space="preserve">Business Today. (2019, June 20). IL&amp;FS Fraud Case: Six Probe agencies train guns on auditors Deloitte, BSR. </w:t>
      </w:r>
      <w:hyperlink r:id="rId10" w:history="1">
        <w:r>
          <w:rPr>
            <w:rStyle w:val="Hyperlink"/>
          </w:rPr>
          <w:t>https://www.businesstoday.in/latest/corporate/story/ilfs-fraud-case-six-probe-agencies-investigate-auditors-deloitte-bsr-204688-2019-06-20</w:t>
        </w:r>
      </w:hyperlink>
    </w:p>
    <w:p w14:paraId="05E0395D" w14:textId="77777777" w:rsidR="003E2390" w:rsidRDefault="003E2390" w:rsidP="003E2390">
      <w:pPr>
        <w:numPr>
          <w:ilvl w:val="0"/>
          <w:numId w:val="3"/>
        </w:numPr>
        <w:spacing w:before="100" w:beforeAutospacing="1" w:after="100" w:afterAutospacing="1"/>
      </w:pPr>
      <w:r>
        <w:t xml:space="preserve">Business Standard. (2019, June 7). Deloitte was aware of loan evergreening in IL&amp;FS Financial Services: SFIO. </w:t>
      </w:r>
      <w:hyperlink r:id="rId11" w:history="1">
        <w:r>
          <w:rPr>
            <w:rStyle w:val="Hyperlink"/>
          </w:rPr>
          <w:t>https://www.business-standard.com/amp/article/economy-policy/deloitte-knew-of-loan-evergreening-in-il-fs-financial-services-sfio-119060701502_1.html</w:t>
        </w:r>
      </w:hyperlink>
    </w:p>
    <w:p w14:paraId="06056B85" w14:textId="77777777" w:rsidR="003E2390" w:rsidRDefault="003E2390" w:rsidP="003E2390">
      <w:pPr>
        <w:numPr>
          <w:ilvl w:val="0"/>
          <w:numId w:val="3"/>
        </w:numPr>
        <w:spacing w:before="100" w:beforeAutospacing="1" w:after="100" w:afterAutospacing="1"/>
      </w:pPr>
      <w:r>
        <w:t xml:space="preserve">Press Trust of India / Business Standard. (2019, June 12). Ex-CEO of IL&amp;FS arm helped Fitch official buy villa, says probe report; Fitch investigating matter. </w:t>
      </w:r>
      <w:hyperlink r:id="rId12" w:history="1">
        <w:r>
          <w:rPr>
            <w:rStyle w:val="Hyperlink"/>
          </w:rPr>
          <w:t>https://www.business-standard.com/amp/article/pti-stories/ex-ceo-of-il-fs-arm-helped-fitch-official-buy-villa-says-probe-report-fitch-investigating-matter-119061200965_1.html</w:t>
        </w:r>
      </w:hyperlink>
    </w:p>
    <w:p w14:paraId="18FA92C7" w14:textId="77777777" w:rsidR="003E2390" w:rsidRDefault="003E2390" w:rsidP="003E2390">
      <w:pPr>
        <w:numPr>
          <w:ilvl w:val="0"/>
          <w:numId w:val="3"/>
        </w:numPr>
        <w:spacing w:before="100" w:beforeAutospacing="1" w:after="100" w:afterAutospacing="1"/>
      </w:pPr>
      <w:r>
        <w:t xml:space="preserve">Business Standard. IL&amp;FS Crisis (topic page, including resolution progress and Rs 43,000 crore / Rs 61,000 crore figures). </w:t>
      </w:r>
      <w:hyperlink r:id="rId13" w:history="1">
        <w:r>
          <w:rPr>
            <w:rStyle w:val="Hyperlink"/>
          </w:rPr>
          <w:t>https://www.business-standard.com/amp/about/what-is-il-fs-crisis</w:t>
        </w:r>
      </w:hyperlink>
    </w:p>
    <w:p w14:paraId="5FDD9E61" w14:textId="77777777" w:rsidR="003E2390" w:rsidRDefault="003E2390" w:rsidP="003E2390">
      <w:pPr>
        <w:numPr>
          <w:ilvl w:val="0"/>
          <w:numId w:val="3"/>
        </w:numPr>
        <w:spacing w:before="100" w:beforeAutospacing="1" w:after="100" w:afterAutospacing="1"/>
      </w:pPr>
      <w:r>
        <w:lastRenderedPageBreak/>
        <w:t xml:space="preserve">Business Standard. IL&amp;FS Crisis (topic page 5, covering the BSR resignation, whistleblower and board supersession). </w:t>
      </w:r>
      <w:hyperlink r:id="rId14" w:history="1">
        <w:r>
          <w:rPr>
            <w:rStyle w:val="Hyperlink"/>
          </w:rPr>
          <w:t>https://www.business-standard.com/topic/il-fs-crisis/page-5</w:t>
        </w:r>
      </w:hyperlink>
    </w:p>
    <w:p w14:paraId="5411D105" w14:textId="77777777" w:rsidR="003E2390" w:rsidRDefault="003E2390" w:rsidP="003E2390">
      <w:pPr>
        <w:numPr>
          <w:ilvl w:val="0"/>
          <w:numId w:val="3"/>
        </w:numPr>
        <w:spacing w:before="100" w:beforeAutospacing="1" w:after="100" w:afterAutospacing="1"/>
      </w:pPr>
      <w:r>
        <w:t xml:space="preserve">Business Standard. IL&amp;FS Case (topic page 3, covering the MCA petition to freeze auditor accounts). </w:t>
      </w:r>
      <w:hyperlink r:id="rId15" w:history="1">
        <w:r>
          <w:rPr>
            <w:rStyle w:val="Hyperlink"/>
          </w:rPr>
          <w:t>https://www.business-standard.com/topic/il-fs-case/page-3</w:t>
        </w:r>
      </w:hyperlink>
    </w:p>
    <w:p w14:paraId="4A8C883B" w14:textId="77777777" w:rsidR="003E2390" w:rsidRDefault="003E2390" w:rsidP="003E2390">
      <w:pPr>
        <w:numPr>
          <w:ilvl w:val="0"/>
          <w:numId w:val="3"/>
        </w:numPr>
        <w:spacing w:before="100" w:beforeAutospacing="1" w:after="100" w:afterAutospacing="1"/>
      </w:pPr>
      <w:r>
        <w:t xml:space="preserve">Edu91. Everything You Need to Know About the IL&amp;FS Fiasco. </w:t>
      </w:r>
      <w:hyperlink r:id="rId16" w:history="1">
        <w:r>
          <w:rPr>
            <w:rStyle w:val="Hyperlink"/>
          </w:rPr>
          <w:t>https://www.edu91.org/blog/everything-you-need-to-know-about-the-il-fs-fiasco</w:t>
        </w:r>
      </w:hyperlink>
    </w:p>
    <w:p w14:paraId="5DC4512B" w14:textId="62CBA854" w:rsidR="00AC0038" w:rsidRDefault="00AC0038" w:rsidP="003E2390">
      <w:pPr>
        <w:pStyle w:val="ListParagraph"/>
        <w:spacing w:after="100" w:line="276" w:lineRule="auto"/>
        <w:ind w:left="720"/>
      </w:pPr>
    </w:p>
    <w:sectPr w:rsidR="00AC0038" w:rsidSect="009774FA">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200441" w14:textId="77777777" w:rsidR="00085CF0" w:rsidRDefault="00085CF0">
      <w:r>
        <w:separator/>
      </w:r>
    </w:p>
  </w:endnote>
  <w:endnote w:type="continuationSeparator" w:id="0">
    <w:p w14:paraId="4272F9BD" w14:textId="77777777" w:rsidR="00085CF0" w:rsidRDefault="0008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818DD" w14:textId="77777777" w:rsidR="00AC003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9774F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F0CCE6" w14:textId="77777777" w:rsidR="00085CF0" w:rsidRDefault="00085CF0">
      <w:r>
        <w:separator/>
      </w:r>
    </w:p>
  </w:footnote>
  <w:footnote w:type="continuationSeparator" w:id="0">
    <w:p w14:paraId="7BA23A7A" w14:textId="77777777" w:rsidR="00085CF0" w:rsidRDefault="00085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867EAB"/>
    <w:multiLevelType w:val="hybridMultilevel"/>
    <w:tmpl w:val="6914B640"/>
    <w:lvl w:ilvl="0" w:tplc="6E5C2DE6">
      <w:start w:val="1"/>
      <w:numFmt w:val="bullet"/>
      <w:lvlText w:val="•"/>
      <w:lvlJc w:val="left"/>
      <w:pPr>
        <w:ind w:left="720" w:hanging="360"/>
      </w:pPr>
    </w:lvl>
    <w:lvl w:ilvl="1" w:tplc="1A28D7E0">
      <w:numFmt w:val="decimal"/>
      <w:lvlText w:val=""/>
      <w:lvlJc w:val="left"/>
    </w:lvl>
    <w:lvl w:ilvl="2" w:tplc="45E2460C">
      <w:numFmt w:val="decimal"/>
      <w:lvlText w:val=""/>
      <w:lvlJc w:val="left"/>
    </w:lvl>
    <w:lvl w:ilvl="3" w:tplc="B832F8CC">
      <w:numFmt w:val="decimal"/>
      <w:lvlText w:val=""/>
      <w:lvlJc w:val="left"/>
    </w:lvl>
    <w:lvl w:ilvl="4" w:tplc="3CD62732">
      <w:numFmt w:val="decimal"/>
      <w:lvlText w:val=""/>
      <w:lvlJc w:val="left"/>
    </w:lvl>
    <w:lvl w:ilvl="5" w:tplc="114A891A">
      <w:numFmt w:val="decimal"/>
      <w:lvlText w:val=""/>
      <w:lvlJc w:val="left"/>
    </w:lvl>
    <w:lvl w:ilvl="6" w:tplc="481608AA">
      <w:numFmt w:val="decimal"/>
      <w:lvlText w:val=""/>
      <w:lvlJc w:val="left"/>
    </w:lvl>
    <w:lvl w:ilvl="7" w:tplc="AA9CCD32">
      <w:numFmt w:val="decimal"/>
      <w:lvlText w:val=""/>
      <w:lvlJc w:val="left"/>
    </w:lvl>
    <w:lvl w:ilvl="8" w:tplc="B1FC9AA6">
      <w:numFmt w:val="decimal"/>
      <w:lvlText w:val=""/>
      <w:lvlJc w:val="left"/>
    </w:lvl>
  </w:abstractNum>
  <w:abstractNum w:abstractNumId="1" w15:restartNumberingAfterBreak="0">
    <w:nsid w:val="4C8F4651"/>
    <w:multiLevelType w:val="hybridMultilevel"/>
    <w:tmpl w:val="E598B1DA"/>
    <w:lvl w:ilvl="0" w:tplc="66EE4382">
      <w:start w:val="1"/>
      <w:numFmt w:val="bullet"/>
      <w:lvlText w:val="●"/>
      <w:lvlJc w:val="left"/>
      <w:pPr>
        <w:ind w:left="720" w:hanging="360"/>
      </w:pPr>
    </w:lvl>
    <w:lvl w:ilvl="1" w:tplc="2BC44328">
      <w:start w:val="1"/>
      <w:numFmt w:val="bullet"/>
      <w:lvlText w:val="○"/>
      <w:lvlJc w:val="left"/>
      <w:pPr>
        <w:ind w:left="1440" w:hanging="360"/>
      </w:pPr>
    </w:lvl>
    <w:lvl w:ilvl="2" w:tplc="AB6283C6">
      <w:start w:val="1"/>
      <w:numFmt w:val="bullet"/>
      <w:lvlText w:val="■"/>
      <w:lvlJc w:val="left"/>
      <w:pPr>
        <w:ind w:left="2160" w:hanging="360"/>
      </w:pPr>
    </w:lvl>
    <w:lvl w:ilvl="3" w:tplc="DD78FA64">
      <w:start w:val="1"/>
      <w:numFmt w:val="bullet"/>
      <w:lvlText w:val="●"/>
      <w:lvlJc w:val="left"/>
      <w:pPr>
        <w:ind w:left="2880" w:hanging="360"/>
      </w:pPr>
    </w:lvl>
    <w:lvl w:ilvl="4" w:tplc="58646090">
      <w:start w:val="1"/>
      <w:numFmt w:val="bullet"/>
      <w:lvlText w:val="○"/>
      <w:lvlJc w:val="left"/>
      <w:pPr>
        <w:ind w:left="3600" w:hanging="360"/>
      </w:pPr>
    </w:lvl>
    <w:lvl w:ilvl="5" w:tplc="DA42A19C">
      <w:start w:val="1"/>
      <w:numFmt w:val="bullet"/>
      <w:lvlText w:val="■"/>
      <w:lvlJc w:val="left"/>
      <w:pPr>
        <w:ind w:left="4320" w:hanging="360"/>
      </w:pPr>
    </w:lvl>
    <w:lvl w:ilvl="6" w:tplc="78EA237A">
      <w:start w:val="1"/>
      <w:numFmt w:val="bullet"/>
      <w:lvlText w:val="●"/>
      <w:lvlJc w:val="left"/>
      <w:pPr>
        <w:ind w:left="5040" w:hanging="360"/>
      </w:pPr>
    </w:lvl>
    <w:lvl w:ilvl="7" w:tplc="62A4C64C">
      <w:start w:val="1"/>
      <w:numFmt w:val="bullet"/>
      <w:lvlText w:val="●"/>
      <w:lvlJc w:val="left"/>
      <w:pPr>
        <w:ind w:left="5760" w:hanging="360"/>
      </w:pPr>
    </w:lvl>
    <w:lvl w:ilvl="8" w:tplc="EE002E5A">
      <w:start w:val="1"/>
      <w:numFmt w:val="bullet"/>
      <w:lvlText w:val="●"/>
      <w:lvlJc w:val="left"/>
      <w:pPr>
        <w:ind w:left="6480" w:hanging="360"/>
      </w:pPr>
    </w:lvl>
  </w:abstractNum>
  <w:abstractNum w:abstractNumId="2" w15:restartNumberingAfterBreak="0">
    <w:nsid w:val="623565B7"/>
    <w:multiLevelType w:val="multilevel"/>
    <w:tmpl w:val="F91A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073942">
    <w:abstractNumId w:val="1"/>
    <w:lvlOverride w:ilvl="0">
      <w:startOverride w:val="1"/>
    </w:lvlOverride>
  </w:num>
  <w:num w:numId="2" w16cid:durableId="1496530711">
    <w:abstractNumId w:val="0"/>
    <w:lvlOverride w:ilvl="0">
      <w:startOverride w:val="1"/>
    </w:lvlOverride>
  </w:num>
  <w:num w:numId="3" w16cid:durableId="1661041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038"/>
    <w:rsid w:val="00085CF0"/>
    <w:rsid w:val="00214CA0"/>
    <w:rsid w:val="003E2390"/>
    <w:rsid w:val="008133EE"/>
    <w:rsid w:val="009774FA"/>
    <w:rsid w:val="00A254B1"/>
    <w:rsid w:val="00AC0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81A7"/>
  <w15:docId w15:val="{A459B944-AE8B-4E07-9A46-0E0F1B78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26262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randbench.com/columns/litigation-columns/ilfs-insolvency-the-journey-so-far" TargetMode="External"/><Relationship Id="rId13" Type="http://schemas.openxmlformats.org/officeDocument/2006/relationships/hyperlink" Target="https://www.business-standard.com/amp/about/what-is-il-fs-crisi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usiness-standard.com/amp/article/pti-stories/ex-ceo-of-il-fs-arm-helped-fitch-official-buy-villa-says-probe-report-fitch-investigating-matter-119061200965_1.html"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du91.org/blog/everything-you-need-to-know-about-the-il-fs-fiasc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siness-standard.com/amp/article/economy-policy/deloitte-knew-of-loan-evergreening-in-il-fs-financial-services-sfio-119060701502_1.html" TargetMode="External"/><Relationship Id="rId5" Type="http://schemas.openxmlformats.org/officeDocument/2006/relationships/footnotes" Target="footnotes.xml"/><Relationship Id="rId15" Type="http://schemas.openxmlformats.org/officeDocument/2006/relationships/hyperlink" Target="https://www.business-standard.com/topic/il-fs-case/page-3" TargetMode="External"/><Relationship Id="rId10" Type="http://schemas.openxmlformats.org/officeDocument/2006/relationships/hyperlink" Target="https://www.businesstoday.in/latest/corporate/story/ilfs-fraud-case-six-probe-agencies-investigate-auditors-deloitte-bsr-204688-2019-06-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usinessworld.in/article/In-Money-laundering-Case-ED-Raids-Offices-Of-Two-Former-IL-FS-Auditors/10-05-2023-476084/" TargetMode="External"/><Relationship Id="rId14" Type="http://schemas.openxmlformats.org/officeDocument/2006/relationships/hyperlink" Target="https://www.business-standard.com/topic/il-fs-crisis/pag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IL&amp;FS Collapse (2018)</dc:title>
  <dc:creator>Case Study Report</dc:creator>
  <cp:lastModifiedBy>Vyshak K</cp:lastModifiedBy>
  <cp:revision>3</cp:revision>
  <dcterms:created xsi:type="dcterms:W3CDTF">2026-10-03T17:00:00Z</dcterms:created>
  <dcterms:modified xsi:type="dcterms:W3CDTF">2026-10-08T10:16:00Z</dcterms:modified>
</cp:coreProperties>
</file>