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실제 은행 데이터를 통한 기계학습 이상탐지 성능 비교 및 평가</w:t>
      </w:r>
    </w:p>
    <w:p w:rsidR="00000000" w:rsidDel="00000000" w:rsidP="00000000" w:rsidRDefault="00000000" w:rsidRPr="00000000" w14:paraId="00000002">
      <w:pPr>
        <w:jc w:val="center"/>
        <w:rPr>
          <w:sz w:val="22"/>
          <w:szCs w:val="22"/>
          <w:vertAlign w:val="superscript"/>
        </w:rPr>
      </w:pPr>
      <w:r w:rsidDel="00000000" w:rsidR="00000000" w:rsidRPr="00000000">
        <w:rPr>
          <w:sz w:val="22"/>
          <w:szCs w:val="22"/>
          <w:rtl w:val="0"/>
        </w:rPr>
        <w:t xml:space="preserve">신규철</w:t>
      </w:r>
      <w:r w:rsidDel="00000000" w:rsidR="00000000" w:rsidRPr="00000000">
        <w:rPr>
          <w:sz w:val="22"/>
          <w:szCs w:val="22"/>
          <w:vertAlign w:val="superscript"/>
          <w:rtl w:val="0"/>
        </w:rPr>
        <w:t xml:space="preserve">1</w:t>
      </w:r>
      <w:r w:rsidDel="00000000" w:rsidR="00000000" w:rsidRPr="00000000">
        <w:rPr>
          <w:sz w:val="22"/>
          <w:szCs w:val="22"/>
          <w:rtl w:val="0"/>
        </w:rPr>
        <w:t xml:space="preserve">, 이현수</w:t>
      </w:r>
      <w:r w:rsidDel="00000000" w:rsidR="00000000" w:rsidRPr="00000000">
        <w:rPr>
          <w:sz w:val="22"/>
          <w:szCs w:val="22"/>
          <w:vertAlign w:val="superscript"/>
          <w:rtl w:val="0"/>
        </w:rPr>
        <w:t xml:space="preserve">1</w:t>
      </w:r>
      <w:r w:rsidDel="00000000" w:rsidR="00000000" w:rsidRPr="00000000">
        <w:rPr>
          <w:sz w:val="22"/>
          <w:szCs w:val="22"/>
          <w:rtl w:val="0"/>
        </w:rPr>
        <w:t xml:space="preserve">, 황세진</w:t>
      </w:r>
      <w:r w:rsidDel="00000000" w:rsidR="00000000" w:rsidRPr="00000000">
        <w:rPr>
          <w:sz w:val="22"/>
          <w:szCs w:val="22"/>
          <w:vertAlign w:val="superscript"/>
          <w:rtl w:val="0"/>
        </w:rPr>
        <w:t xml:space="preserve">2</w:t>
      </w:r>
    </w:p>
    <w:p w:rsidR="00000000" w:rsidDel="00000000" w:rsidP="00000000" w:rsidRDefault="00000000" w:rsidRPr="00000000" w14:paraId="00000003">
      <w:pPr>
        <w:jc w:val="center"/>
        <w:rPr>
          <w:sz w:val="22"/>
          <w:szCs w:val="22"/>
        </w:rPr>
      </w:pPr>
      <w:r w:rsidDel="00000000" w:rsidR="00000000" w:rsidRPr="00000000">
        <w:rPr>
          <w:sz w:val="22"/>
          <w:szCs w:val="22"/>
          <w:vertAlign w:val="superscript"/>
          <w:rtl w:val="0"/>
        </w:rPr>
        <w:t xml:space="preserve">1</w:t>
      </w:r>
      <w:r w:rsidDel="00000000" w:rsidR="00000000" w:rsidRPr="00000000">
        <w:rPr>
          <w:sz w:val="22"/>
          <w:szCs w:val="22"/>
          <w:rtl w:val="0"/>
        </w:rPr>
        <w:t xml:space="preserve">광운대학교 정보융합학부</w:t>
      </w:r>
    </w:p>
    <w:p w:rsidR="00000000" w:rsidDel="00000000" w:rsidP="00000000" w:rsidRDefault="00000000" w:rsidRPr="00000000" w14:paraId="00000004">
      <w:pPr>
        <w:jc w:val="center"/>
        <w:rPr>
          <w:sz w:val="22"/>
          <w:szCs w:val="22"/>
        </w:rPr>
        <w:sectPr>
          <w:pgSz w:h="16838" w:w="11906" w:orient="portrait"/>
          <w:pgMar w:bottom="1440" w:top="1701" w:left="1440" w:right="1440" w:header="851" w:footer="992"/>
          <w:pgNumType w:start="1"/>
          <w:cols w:equalWidth="0" w:num="1">
            <w:col w:space="0" w:w="9025.5"/>
          </w:cols>
        </w:sectPr>
      </w:pPr>
      <w:r w:rsidDel="00000000" w:rsidR="00000000" w:rsidRPr="00000000">
        <w:rPr>
          <w:sz w:val="22"/>
          <w:szCs w:val="22"/>
          <w:vertAlign w:val="superscript"/>
          <w:rtl w:val="0"/>
        </w:rPr>
        <w:t xml:space="preserve">2</w:t>
      </w:r>
      <w:r w:rsidDel="00000000" w:rsidR="00000000" w:rsidRPr="00000000">
        <w:rPr>
          <w:sz w:val="22"/>
          <w:szCs w:val="22"/>
          <w:rtl w:val="0"/>
        </w:rPr>
        <w:t xml:space="preserve">광운대학교 수학과</w:t>
      </w: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center"/>
        <w:rPr>
          <w:b w:val="1"/>
          <w:sz w:val="22"/>
          <w:szCs w:val="22"/>
        </w:rPr>
        <w:sectPr>
          <w:type w:val="continuous"/>
          <w:pgSz w:h="16838" w:w="11906" w:orient="portrait"/>
          <w:pgMar w:bottom="1440" w:top="1701" w:left="1440" w:right="1440" w:header="851" w:footer="992"/>
          <w:cols w:equalWidth="0" w:num="2">
            <w:col w:space="720" w:w="4152.74"/>
            <w:col w:space="0" w:w="4152.74"/>
          </w:cols>
        </w:sectPr>
      </w:pPr>
      <w:r w:rsidDel="00000000" w:rsidR="00000000" w:rsidRPr="00000000">
        <w:rPr>
          <w:rtl w:val="0"/>
        </w:rPr>
      </w:r>
    </w:p>
    <w:p w:rsidR="00000000" w:rsidDel="00000000" w:rsidP="00000000" w:rsidRDefault="00000000" w:rsidRPr="00000000" w14:paraId="00000007">
      <w:pPr>
        <w:jc w:val="center"/>
        <w:rPr>
          <w:b w:val="1"/>
          <w:sz w:val="22"/>
          <w:szCs w:val="22"/>
          <w:u w:val="single"/>
        </w:rPr>
      </w:pPr>
      <w:r w:rsidDel="00000000" w:rsidR="00000000" w:rsidRPr="00000000">
        <w:rPr>
          <w:b w:val="1"/>
          <w:sz w:val="22"/>
          <w:szCs w:val="22"/>
          <w:rtl w:val="0"/>
        </w:rPr>
        <w:t xml:space="preserve">초   록</w:t>
      </w:r>
      <w:r w:rsidDel="00000000" w:rsidR="00000000" w:rsidRPr="00000000">
        <w:rPr>
          <w:rtl w:val="0"/>
        </w:rPr>
      </w:r>
    </w:p>
    <w:p w:rsidR="00000000" w:rsidDel="00000000" w:rsidP="00000000" w:rsidRDefault="00000000" w:rsidRPr="00000000" w14:paraId="00000008">
      <w:pPr>
        <w:ind w:firstLine="200"/>
        <w:rPr/>
      </w:pPr>
      <w:r w:rsidDel="00000000" w:rsidR="00000000" w:rsidRPr="00000000">
        <w:rPr>
          <w:rtl w:val="0"/>
        </w:rPr>
        <w:t xml:space="preserve">실험을 진행한</w:t>
      </w:r>
      <w:r w:rsidDel="00000000" w:rsidR="00000000" w:rsidRPr="00000000">
        <w:rPr>
          <w:rtl w:val="0"/>
        </w:rPr>
        <w:t xml:space="preserve"> 데이터는 은행 마케팅 캠페인에 대한 정보를 담고 있는 데이터이다. 최근들어 갈등이 고조되고 있는 국제 정세와 가파른 인플레이션으로 인해 자금 유동성이 떨어지고 있다. 또한, 기준금리 인상과 유동성 규제 비율 충족, 기업대출 자금 조달 수요 등에 따라 최근 은행들은 일제히 예·적금 금리를 크게 올리고 은행채를 대거 발행하면서 시중 자금과 채권시장 자금을 사상 최대 규모로 빨아들이고 있는 점도 유동성 감소의 주요 원인으로 꼽힌다.</w:t>
      </w:r>
      <w:r w:rsidDel="00000000" w:rsidR="00000000" w:rsidRPr="00000000">
        <w:rPr>
          <w:vertAlign w:val="superscript"/>
        </w:rPr>
        <w:footnoteReference w:customMarkFollows="0" w:id="0"/>
      </w:r>
      <w:r w:rsidDel="00000000" w:rsidR="00000000" w:rsidRPr="00000000">
        <w:rPr>
          <w:rtl w:val="0"/>
        </w:rPr>
        <w:t xml:space="preserve"> 정기 예금에 대한 사회적 관심이 높아짐에 따라, 각 은행은 고객 유치를 위해 다양한 시도를 하고 있다. </w:t>
      </w:r>
      <w:r w:rsidDel="00000000" w:rsidR="00000000" w:rsidRPr="00000000">
        <w:drawing>
          <wp:anchor allowOverlap="1" behindDoc="0" distB="0" distT="0" distL="114300" distR="114300" hidden="0" layoutInCell="1" locked="0" relativeHeight="0" simplePos="0">
            <wp:simplePos x="0" y="0"/>
            <wp:positionH relativeFrom="column">
              <wp:posOffset>3792220</wp:posOffset>
            </wp:positionH>
            <wp:positionV relativeFrom="paragraph">
              <wp:posOffset>1062990</wp:posOffset>
            </wp:positionV>
            <wp:extent cx="1943100" cy="2561892"/>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43100" cy="2561892"/>
                    </a:xfrm>
                    <a:prstGeom prst="rect"/>
                    <a:ln/>
                  </pic:spPr>
                </pic:pic>
              </a:graphicData>
            </a:graphic>
          </wp:anchor>
        </w:drawing>
      </w:r>
    </w:p>
    <w:p w:rsidR="00000000" w:rsidDel="00000000" w:rsidP="00000000" w:rsidRDefault="00000000" w:rsidRPr="00000000" w14:paraId="00000009">
      <w:pPr>
        <w:ind w:firstLine="220"/>
        <w:rPr>
          <w:u w:val="single"/>
        </w:rPr>
      </w:pPr>
      <w:r w:rsidDel="00000000" w:rsidR="00000000" w:rsidRPr="00000000">
        <w:rPr>
          <w:rtl w:val="0"/>
        </w:rPr>
        <w:t xml:space="preserve">본 실험에서는 데이터의 기본적인 특징을 이해하고 정상을 정의한 후, 이상탐지 알고리즘을 활용하여 해당 데이터의 정상을 탐지하는 학습모델을 구축하고자 한다. </w:t>
      </w:r>
      <w:r w:rsidDel="00000000" w:rsidR="00000000" w:rsidRPr="00000000">
        <w:rPr>
          <w:rtl w:val="0"/>
        </w:rPr>
        <w:t xml:space="preserve">특히, 강의를 통해 학습한 알고리즘 외 DBSCAN, Isolation forest, SGD 알고리즘을 스스로 학습하고 실험에 추가하였다.</w:t>
      </w:r>
      <w:r w:rsidDel="00000000" w:rsidR="00000000" w:rsidRPr="00000000">
        <w:rPr>
          <w:u w:val="single"/>
          <w:rtl w:val="0"/>
        </w:rPr>
        <w:t xml:space="preserve">  </w:t>
      </w:r>
    </w:p>
    <w:p w:rsidR="00000000" w:rsidDel="00000000" w:rsidP="00000000" w:rsidRDefault="00000000" w:rsidRPr="00000000" w14:paraId="0000000A">
      <w:pPr>
        <w:ind w:firstLine="220"/>
        <w:rPr>
          <w:u w:val="single"/>
        </w:rPr>
        <w:sectPr>
          <w:type w:val="continuous"/>
          <w:pgSz w:h="16838" w:w="11906" w:orient="portrait"/>
          <w:pgMar w:bottom="1440" w:top="1701" w:left="1440" w:right="1440" w:header="851" w:footer="992"/>
          <w:cols w:equalWidth="0" w:num="1">
            <w:col w:space="0" w:w="9025.5"/>
          </w:cols>
        </w:sectPr>
      </w:pPr>
      <w:r w:rsidDel="00000000" w:rsidR="00000000" w:rsidRPr="00000000">
        <w:rPr>
          <w:rtl w:val="0"/>
        </w:rPr>
        <w:t xml:space="preserve">실험에서는 머신러닝 알고리즘을 적용하여 정확도 측면의 비교 실험을 수행했으며, </w:t>
      </w:r>
      <w:r w:rsidDel="00000000" w:rsidR="00000000" w:rsidRPr="00000000">
        <w:rPr>
          <w:u w:val="single"/>
          <w:rtl w:val="0"/>
        </w:rPr>
        <w:t xml:space="preserve">실험 결과 X가 TPR X.XX%, FPR X.XX%, 그리고 F1 X.XX%만큼  좋은 성능을 보였다.</w:t>
      </w:r>
      <w:r w:rsidDel="00000000" w:rsidR="00000000" w:rsidRPr="00000000">
        <w:rPr>
          <w:rtl w:val="0"/>
        </w:rPr>
        <w:t xml:space="preserve"> </w:t>
      </w:r>
      <w:r w:rsidDel="00000000" w:rsidR="00000000" w:rsidRPr="00000000">
        <w:rPr>
          <w:u w:val="single"/>
          <w:rtl w:val="0"/>
        </w:rPr>
        <w:t xml:space="preserve"> 본 실험을 통해서 이상탐지를 실제 현장에 적용해 볼 수 있음을 깨닫고, 본 데이터를 기</w:t>
      </w:r>
    </w:p>
    <w:p w:rsidR="00000000" w:rsidDel="00000000" w:rsidP="00000000" w:rsidRDefault="00000000" w:rsidRPr="00000000" w14:paraId="0000000B">
      <w:pPr>
        <w:jc w:val="left"/>
        <w:rPr>
          <w:sz w:val="22"/>
          <w:szCs w:val="22"/>
        </w:rPr>
      </w:pPr>
      <w:r w:rsidDel="00000000" w:rsidR="00000000" w:rsidRPr="00000000">
        <w:rPr>
          <w:b w:val="1"/>
          <w:sz w:val="22"/>
          <w:szCs w:val="22"/>
          <w:rtl w:val="0"/>
        </w:rPr>
        <w:t xml:space="preserve">1. 서론 </w:t>
      </w: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 본 실험에서 선정한 데이터는 포르투갈의 한 은행 기관의 다이렉트 마케팅 캠페인(전화 통화) 데이터셋으로 UCI Machine Learning Repository에서 가져왔다. 분류 목표는 고객의 정기예금 가입의사를 예측하는 것이다. 해당 데이터셋의 고객 정기예금 가입 비율은 </w:t>
      </w:r>
      <w:r w:rsidDel="00000000" w:rsidR="00000000" w:rsidRPr="00000000">
        <w:rPr>
          <w:b w:val="1"/>
          <w:rtl w:val="0"/>
        </w:rPr>
        <w:t xml:space="preserve">가입 : 미가입 = 15 : 85</w:t>
      </w:r>
      <w:r w:rsidDel="00000000" w:rsidR="00000000" w:rsidRPr="00000000">
        <w:rPr>
          <w:rtl w:val="0"/>
        </w:rPr>
        <w:t xml:space="preserve">의 비율이며, 데이터의 불균형이 관찰되었다. 따라서 이상탐지 모델을 통한 데이터 분류를 시도해 보았다.</w:t>
      </w:r>
    </w:p>
    <w:p w:rsidR="00000000" w:rsidDel="00000000" w:rsidP="00000000" w:rsidRDefault="00000000" w:rsidRPr="00000000" w14:paraId="0000000D">
      <w:pPr>
        <w:jc w:val="left"/>
        <w:rPr>
          <w:sz w:val="26"/>
          <w:szCs w:val="26"/>
          <w:vertAlign w:val="superscript"/>
        </w:rPr>
      </w:pPr>
      <w:r w:rsidDel="00000000" w:rsidR="00000000" w:rsidRPr="00000000">
        <w:rPr>
          <w:rtl w:val="0"/>
        </w:rPr>
        <w:t xml:space="preserve"> 직접 마케팅을 하여도 정기 예금에 가입하지 않는 사람이 대부분이므로, 이상탐지 측면에서 이들을 정상으로 분류하고, 정기 예금에 가입한 사람을 이상이라고 구분하여 적용하였다. 따라서 본 실험은 정기예금을 가입할 확률이 높은 사람들을 가입하지 않을 것으로 예측하는 것을 예방하여 고객 유치를 하는 것을 목적으로 한다.</w:t>
      </w:r>
      <w:r w:rsidDel="00000000" w:rsidR="00000000" w:rsidRPr="00000000">
        <w:rPr>
          <w:rtl w:val="0"/>
        </w:rPr>
      </w:r>
    </w:p>
    <w:p w:rsidR="00000000" w:rsidDel="00000000" w:rsidP="00000000" w:rsidRDefault="00000000" w:rsidRPr="00000000" w14:paraId="0000000E">
      <w:pPr>
        <w:jc w:val="left"/>
        <w:rPr>
          <w:b w:val="1"/>
          <w:sz w:val="22"/>
          <w:szCs w:val="22"/>
        </w:rPr>
      </w:pPr>
      <w:r w:rsidDel="00000000" w:rsidR="00000000" w:rsidRPr="00000000">
        <w:rPr>
          <w:b w:val="1"/>
          <w:color w:val="000000"/>
          <w:sz w:val="22"/>
          <w:szCs w:val="22"/>
          <w:rtl w:val="0"/>
        </w:rPr>
        <w:t xml:space="preserve">2. </w:t>
      </w:r>
      <w:r w:rsidDel="00000000" w:rsidR="00000000" w:rsidRPr="00000000">
        <w:rPr>
          <w:b w:val="1"/>
          <w:sz w:val="22"/>
          <w:szCs w:val="22"/>
          <w:rtl w:val="0"/>
        </w:rPr>
        <w:t xml:space="preserve">데이터 기초 분석 및 전처리</w:t>
      </w:r>
    </w:p>
    <w:p w:rsidR="00000000" w:rsidDel="00000000" w:rsidP="00000000" w:rsidRDefault="00000000" w:rsidRPr="00000000" w14:paraId="0000000F">
      <w:pPr>
        <w:jc w:val="left"/>
        <w:rPr/>
      </w:pPr>
      <w:r w:rsidDel="00000000" w:rsidR="00000000" w:rsidRPr="00000000">
        <w:rPr>
          <w:rtl w:val="0"/>
        </w:rPr>
        <w:t xml:space="preserve">2.1 EDA</w:t>
      </w:r>
    </w:p>
    <w:p w:rsidR="00000000" w:rsidDel="00000000" w:rsidP="00000000" w:rsidRDefault="00000000" w:rsidRPr="00000000" w14:paraId="00000010">
      <w:pPr>
        <w:jc w:val="left"/>
        <w:rPr/>
      </w:pPr>
      <w:r w:rsidDel="00000000" w:rsidR="00000000" w:rsidRPr="00000000">
        <w:rPr>
          <w:rtl w:val="0"/>
        </w:rPr>
        <w:t xml:space="preserve"> 본 데이터는 입력변수가 총 16개로, 수치형 변수 7개, 범주형 변수 9개로 구성되어 있다.  출력변수는 정기예금 가입 여부에 따라 yes/no로 구분이 되어 있다. 총 관측치 개수는 45211개였으며, 출력변수에 불균형 문제가 존재하였다(15 : 85의 비율).</w:t>
      </w:r>
    </w:p>
    <w:p w:rsidR="00000000" w:rsidDel="00000000" w:rsidP="00000000" w:rsidRDefault="00000000" w:rsidRPr="00000000" w14:paraId="00000011">
      <w:pPr>
        <w:jc w:val="left"/>
        <w:rPr>
          <w:sz w:val="28"/>
          <w:szCs w:val="28"/>
        </w:rPr>
      </w:pPr>
      <w:r w:rsidDel="00000000" w:rsidR="00000000" w:rsidRPr="00000000">
        <w:rPr>
          <w:rtl w:val="0"/>
        </w:rPr>
        <w:t xml:space="preserve"> 수치형 변수는 크게 정규분포를 따른다고 보기 어려웠으며, 왜도 측정 결과 age(나이), day(날짜)를 제외한 모든 변수의 왜도는 3 이상이었다. 범주형 변수는 각 변수의 count를 측정하였고, 특이한 점으로 month(고객과의 마지막 연락 달)의 값 중 5월의 값이 다른 달에 비해 2배 정도의 관측치 수를 차지한 것과(13766개),  10월, 9월, 3월, 12월은 상대적으로 저조한 데이터 양을 보였다 (1000개 이하).</w:t>
      </w: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2.2 전처리</w:t>
      </w:r>
    </w:p>
    <w:p w:rsidR="00000000" w:rsidDel="00000000" w:rsidP="00000000" w:rsidRDefault="00000000" w:rsidRPr="00000000" w14:paraId="00000014">
      <w:pPr>
        <w:jc w:val="left"/>
        <w:rPr/>
      </w:pPr>
      <w:r w:rsidDel="00000000" w:rsidR="00000000" w:rsidRPr="00000000">
        <w:rPr>
          <w:rtl w:val="0"/>
        </w:rPr>
        <w:t xml:space="preserve"> 데이터에 ‘unknown’ 문자열 값이 존재하였고, 해당 실험에서는 ‘unknown’ 값을 null값으로 판단하여 데이터를 제거하였다. ‘unknown’값이 포함된 데이터 인스턴스를 삭제하였고, 특히 ‘poutcome’ 변수는 해당 값이 대부분을 차지하였기에(약 80%) 변수 자체를 제거하였다.</w:t>
      </w:r>
    </w:p>
    <w:p w:rsidR="00000000" w:rsidDel="00000000" w:rsidP="00000000" w:rsidRDefault="00000000" w:rsidRPr="00000000" w14:paraId="00000015">
      <w:pPr>
        <w:jc w:val="left"/>
        <w:rPr/>
      </w:pPr>
      <w:r w:rsidDel="00000000" w:rsidR="00000000" w:rsidRPr="00000000">
        <w:rPr>
          <w:rtl w:val="0"/>
        </w:rPr>
        <w:t xml:space="preserve">표준편차가 큰 수치형 변수들은 Robust Scaling을 적용하였고, 추가로 모든 수치형 변수에 MinMax Scaling을 진행하였다. 범주형 변수는 Binary Encoding, One Hot Encoding의 인코딩 기법을 이용하여 적절하게 수치형 변수로 변환해주었다.</w:t>
      </w:r>
    </w:p>
    <w:p w:rsidR="00000000" w:rsidDel="00000000" w:rsidP="00000000" w:rsidRDefault="00000000" w:rsidRPr="00000000" w14:paraId="00000016">
      <w:pPr>
        <w:jc w:val="left"/>
        <w:rPr/>
      </w:pPr>
      <w:r w:rsidDel="00000000" w:rsidR="00000000" w:rsidRPr="00000000">
        <w:rPr>
          <w:rtl w:val="0"/>
        </w:rPr>
        <w:t xml:space="preserve">마지막으로, 변수 간 선형 상관성을 조사하여 선형 상관성이 유의미한 변수들을 제거하였다(상관계수 0.3이상).</w:t>
      </w:r>
    </w:p>
    <w:p w:rsidR="00000000" w:rsidDel="00000000" w:rsidP="00000000" w:rsidRDefault="00000000" w:rsidRPr="00000000" w14:paraId="00000017">
      <w:pPr>
        <w:jc w:val="left"/>
        <w:rPr/>
      </w:pPr>
      <w:r w:rsidDel="00000000" w:rsidR="00000000" w:rsidRPr="00000000">
        <w:rPr>
          <w:rtl w:val="0"/>
        </w:rPr>
        <w:t xml:space="preserve">정상과 이상 비율이 85:15 에서 이상 4513개와 동일하게 정상에서 랜덤 샘플링하여 4513개를 뽑아 테스트 데이터로 만들었다.</w:t>
      </w:r>
    </w:p>
    <w:p w:rsidR="00000000" w:rsidDel="00000000" w:rsidP="00000000" w:rsidRDefault="00000000" w:rsidRPr="00000000" w14:paraId="00000018">
      <w:pPr>
        <w:jc w:val="left"/>
        <w:rPr/>
      </w:pPr>
      <w:r w:rsidDel="00000000" w:rsidR="00000000" w:rsidRPr="00000000">
        <w:rPr>
          <w:rtl w:val="0"/>
        </w:rPr>
        <w:t xml:space="preserve">즉, </w:t>
      </w:r>
      <w:r w:rsidDel="00000000" w:rsidR="00000000" w:rsidRPr="00000000">
        <w:rPr/>
        <w:drawing>
          <wp:inline distB="114300" distT="114300" distL="114300" distR="114300">
            <wp:extent cx="2638425" cy="1765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3842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3. 추가 적용 알고리즘</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rtl w:val="0"/>
        </w:rPr>
        <w:t xml:space="preserve">본 실험에서 적용해본 추가적인 알고리즘은 다음과 같다. </w:t>
      </w:r>
      <w:r w:rsidDel="00000000" w:rsidR="00000000" w:rsidRPr="00000000">
        <w:rPr>
          <w:b w:val="1"/>
          <w:rtl w:val="0"/>
        </w:rPr>
        <w:t xml:space="preserve">DBSCAN</w:t>
      </w:r>
      <w:r w:rsidDel="00000000" w:rsidR="00000000" w:rsidRPr="00000000">
        <w:rPr>
          <w:rtl w:val="0"/>
        </w:rPr>
        <w:t xml:space="preserve">은 Clustering 알고리즘 중 하나로, 밀도 기반 Clustering을 진행한다. 비교적 다양한 형태의 데이터 분포에 효율적이라고 알려져 있다. 특정 거리를 지정하여 관측치 간 이웃을 정하며, parameter로는 이웃을 지정하는 거리(eps), 군집을 정의하기 위한 최소 관측치 수(minPts)가 있다. 관측치는 Core, Border, Outlier로 분류되며, 해당 보고서에서는 Outlier로 분류된 관측치들을 정기예금에 가입하였다고 판단하여 실험을 진행하였다.</w:t>
      </w:r>
    </w:p>
    <w:p w:rsidR="00000000" w:rsidDel="00000000" w:rsidP="00000000" w:rsidRDefault="00000000" w:rsidRPr="00000000" w14:paraId="0000001B">
      <w:pPr>
        <w:rPr/>
      </w:pPr>
      <w:r w:rsidDel="00000000" w:rsidR="00000000" w:rsidRPr="00000000">
        <w:rPr>
          <w:b w:val="1"/>
          <w:rtl w:val="0"/>
        </w:rPr>
        <w:t xml:space="preserve">Isolation Forest </w:t>
      </w:r>
      <w:r w:rsidDel="00000000" w:rsidR="00000000" w:rsidRPr="00000000">
        <w:rPr>
          <w:rtl w:val="0"/>
        </w:rPr>
        <w:t xml:space="preserve">: 데이터셋을 의사결정나무 형태로 표현하여, 정상 데이터를 분리하기 위해서는 의사결정나무의 깊은 곳을 확인해야 하고, 이상치는 의사결정나무 상단부에서 분리할 수 있다는 것을 이용한 알고리즘이다. 해당 특성을 이용해 의사결정나무를 몇 회 타고 내려가야 분리되는가를 기준으로 정상과 이상을 분리한다. </w:t>
      </w:r>
    </w:p>
    <w:p w:rsidR="00000000" w:rsidDel="00000000" w:rsidP="00000000" w:rsidRDefault="00000000" w:rsidRPr="00000000" w14:paraId="0000001C">
      <w:pPr>
        <w:rPr/>
      </w:pPr>
      <w:r w:rsidDel="00000000" w:rsidR="00000000" w:rsidRPr="00000000">
        <w:rPr>
          <w:b w:val="1"/>
          <w:rtl w:val="0"/>
        </w:rPr>
        <w:t xml:space="preserve">1-svm with gradient descent(SGD)</w:t>
      </w:r>
      <w:r w:rsidDel="00000000" w:rsidR="00000000" w:rsidRPr="00000000">
        <w:rPr>
          <w:rtl w:val="0"/>
        </w:rPr>
        <w:t xml:space="preserve"> : </w:t>
      </w:r>
    </w:p>
    <w:p w:rsidR="00000000" w:rsidDel="00000000" w:rsidP="00000000" w:rsidRDefault="00000000" w:rsidRPr="00000000" w14:paraId="0000001D">
      <w:pPr>
        <w:rPr/>
      </w:pPr>
      <w:r w:rsidDel="00000000" w:rsidR="00000000" w:rsidRPr="00000000">
        <w:rPr>
          <w:rtl w:val="0"/>
        </w:rPr>
        <w:t xml:space="preserve">SVM은 목적식의 optimization 과정에서 gradient descent 를 통해 optimal solution을 찾는다. 그런데 알고리즘 특성상 optimization 과정에서 많은 계산량이 요구되므로, 이를 보완하기 위해 SGD(stochastic gradient descent) 방식을 적용한다. SGD는 전체 데이터 중 일부인 mini-batch를 사용하여 loss function을 계산하는데, 이 점 덕분에 훨씬 빠른 계산 속도를 보인다. 오히려 빠른 속도 덕분에 BGD보다 좋은 local optima를 찾을 가능성도 올라간다는 장점이 있다. </w:t>
      </w:r>
    </w:p>
    <w:p w:rsidR="00000000" w:rsidDel="00000000" w:rsidP="00000000" w:rsidRDefault="00000000" w:rsidRPr="00000000" w14:paraId="0000001E">
      <w:pPr>
        <w:rPr/>
      </w:pPr>
      <w:r w:rsidDel="00000000" w:rsidR="00000000" w:rsidRPr="00000000">
        <w:rPr>
          <w:b w:val="1"/>
          <w:rtl w:val="0"/>
        </w:rPr>
        <w:t xml:space="preserve">Parzen Window Density Estimation</w:t>
      </w:r>
      <w:r w:rsidDel="00000000" w:rsidR="00000000" w:rsidRPr="00000000">
        <w:rPr>
          <w:rtl w:val="0"/>
        </w:rPr>
        <w:t xml:space="preserve">은 Mixture of Gaussian 의 가정이 완화된 것으로 특정한 분포 가진다는 가정 없이(non-parametric) </w:t>
      </w:r>
      <w:r w:rsidDel="00000000" w:rsidR="00000000" w:rsidRPr="00000000">
        <w:rPr>
          <w:u w:val="single"/>
          <w:rtl w:val="0"/>
        </w:rPr>
        <w:t xml:space="preserve">주어진 데이터로부터</w:t>
      </w:r>
      <w:r w:rsidDel="00000000" w:rsidR="00000000" w:rsidRPr="00000000">
        <w:rPr>
          <w:rtl w:val="0"/>
        </w:rPr>
        <w:t xml:space="preserve"> 주변부의 밀도를 추정하는 방식이다. </w:t>
      </w:r>
    </w:p>
    <w:p w:rsidR="00000000" w:rsidDel="00000000" w:rsidP="00000000" w:rsidRDefault="00000000" w:rsidRPr="00000000" w14:paraId="0000001F">
      <w:pPr>
        <w:rPr/>
      </w:pPr>
      <w:r w:rsidDel="00000000" w:rsidR="00000000" w:rsidRPr="00000000">
        <w:rPr>
          <w:rtl w:val="0"/>
        </w:rPr>
        <w:t xml:space="preserve">가우시안 커널을 사용한 커널 density Estimation 이 Parzen Window</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데이터 하나하나가 가우시안 모달 개수</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오버 피팅 생길 수 있다는 단점이 있다.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2"/>
          <w:szCs w:val="22"/>
        </w:rPr>
      </w:pPr>
      <w:r w:rsidDel="00000000" w:rsidR="00000000" w:rsidRPr="00000000">
        <w:rPr>
          <w:b w:val="1"/>
          <w:sz w:val="22"/>
          <w:szCs w:val="22"/>
          <w:rtl w:val="0"/>
        </w:rPr>
        <w:t xml:space="preserve">5. 실험 결과 및 해석</w:t>
      </w:r>
    </w:p>
    <w:tbl>
      <w:tblPr>
        <w:tblStyle w:val="Table1"/>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2466666666666"/>
        <w:gridCol w:w="834.2466666666666"/>
        <w:gridCol w:w="870"/>
        <w:gridCol w:w="780"/>
        <w:gridCol w:w="834.2466666666666"/>
        <w:tblGridChange w:id="0">
          <w:tblGrid>
            <w:gridCol w:w="834.2466666666666"/>
            <w:gridCol w:w="834.2466666666666"/>
            <w:gridCol w:w="870"/>
            <w:gridCol w:w="780"/>
            <w:gridCol w:w="834.24666666666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jc w:val="left"/>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jc w:val="left"/>
              <w:rPr>
                <w:b w:val="1"/>
                <w:sz w:val="22"/>
                <w:szCs w:val="22"/>
              </w:rPr>
            </w:pPr>
            <w:r w:rsidDel="00000000" w:rsidR="00000000" w:rsidRPr="00000000">
              <w:rPr>
                <w:b w:val="1"/>
                <w:sz w:val="22"/>
                <w:szCs w:val="22"/>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jc w:val="left"/>
              <w:rPr>
                <w:b w:val="1"/>
                <w:sz w:val="22"/>
                <w:szCs w:val="22"/>
              </w:rPr>
            </w:pPr>
            <w:r w:rsidDel="00000000" w:rsidR="00000000" w:rsidRPr="00000000">
              <w:rPr>
                <w:b w:val="1"/>
                <w:sz w:val="22"/>
                <w:szCs w:val="22"/>
                <w:rtl w:val="0"/>
              </w:rPr>
              <w:t xml:space="preserve">FRR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jc w:val="left"/>
              <w:rPr>
                <w:b w:val="1"/>
                <w:sz w:val="22"/>
                <w:szCs w:val="22"/>
              </w:rPr>
            </w:pPr>
            <w:r w:rsidDel="00000000" w:rsidR="00000000" w:rsidRPr="00000000">
              <w:rPr>
                <w:b w:val="1"/>
                <w:sz w:val="22"/>
                <w:szCs w:val="22"/>
                <w:rtl w:val="0"/>
              </w:rPr>
              <w:t xml:space="preserve">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jc w:val="left"/>
              <w:rPr>
                <w:b w:val="1"/>
                <w:sz w:val="22"/>
                <w:szCs w:val="22"/>
              </w:rPr>
            </w:pPr>
            <w:r w:rsidDel="00000000" w:rsidR="00000000" w:rsidRPr="00000000">
              <w:rPr>
                <w:b w:val="1"/>
                <w:sz w:val="22"/>
                <w:szCs w:val="22"/>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jc w:val="left"/>
              <w:rPr>
                <w:b w:val="1"/>
                <w:sz w:val="22"/>
                <w:szCs w:val="22"/>
              </w:rPr>
            </w:pPr>
            <w:r w:rsidDel="00000000" w:rsidR="00000000" w:rsidRPr="00000000">
              <w:rPr>
                <w:b w:val="1"/>
                <w:rtl w:val="0"/>
              </w:rPr>
              <w:t xml:space="preserve">GDE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jc w:val="left"/>
              <w:rPr>
                <w:b w:val="1"/>
              </w:rPr>
            </w:pPr>
            <w:r w:rsidDel="00000000" w:rsidR="00000000" w:rsidRPr="00000000">
              <w:rPr>
                <w:b w:val="1"/>
                <w:rtl w:val="0"/>
              </w:rPr>
              <w:t xml:space="preserve">상위</w:t>
            </w:r>
          </w:p>
          <w:p w:rsidR="00000000" w:rsidDel="00000000" w:rsidP="00000000" w:rsidRDefault="00000000" w:rsidRPr="00000000" w14:paraId="0000002B">
            <w:pPr>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jc w:val="left"/>
              <w:rPr>
                <w:b w:val="1"/>
                <w:sz w:val="22"/>
                <w:szCs w:val="22"/>
              </w:rPr>
            </w:pPr>
            <w:r w:rsidDel="00000000" w:rsidR="00000000" w:rsidRPr="00000000">
              <w:rPr>
                <w:b w:val="1"/>
                <w:sz w:val="22"/>
                <w:szCs w:val="22"/>
                <w:rtl w:val="0"/>
              </w:rPr>
              <w:t xml:space="preserve">0.1354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jc w:val="left"/>
              <w:rPr>
                <w:b w:val="1"/>
                <w:sz w:val="22"/>
                <w:szCs w:val="22"/>
              </w:rPr>
            </w:pPr>
            <w:r w:rsidDel="00000000" w:rsidR="00000000" w:rsidRPr="00000000">
              <w:rPr>
                <w:b w:val="1"/>
                <w:sz w:val="22"/>
                <w:szCs w:val="22"/>
                <w:rtl w:val="0"/>
              </w:rPr>
              <w:t xml:space="preserve">0.7266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jc w:val="left"/>
              <w:rPr>
                <w:b w:val="1"/>
                <w:sz w:val="22"/>
                <w:szCs w:val="22"/>
              </w:rPr>
            </w:pPr>
            <w:r w:rsidDel="00000000" w:rsidR="00000000" w:rsidRPr="00000000">
              <w:rPr>
                <w:b w:val="1"/>
                <w:sz w:val="22"/>
                <w:szCs w:val="22"/>
                <w:rtl w:val="0"/>
              </w:rPr>
              <w:t xml:space="preserve">0.3882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jc w:val="left"/>
              <w:rPr>
                <w:b w:val="1"/>
                <w:sz w:val="22"/>
                <w:szCs w:val="22"/>
              </w:rPr>
            </w:pPr>
            <w:r w:rsidDel="00000000" w:rsidR="00000000" w:rsidRPr="00000000">
              <w:rPr>
                <w:b w:val="1"/>
                <w:rtl w:val="0"/>
              </w:rPr>
              <w:t xml:space="preserve">MOG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jc w:val="left"/>
              <w:rPr>
                <w:b w:val="1"/>
              </w:rPr>
            </w:pPr>
            <w:r w:rsidDel="00000000" w:rsidR="00000000" w:rsidRPr="00000000">
              <w:rPr>
                <w:b w:val="1"/>
                <w:rtl w:val="0"/>
              </w:rPr>
              <w:t xml:space="preserve">상위</w:t>
            </w:r>
          </w:p>
          <w:p w:rsidR="00000000" w:rsidDel="00000000" w:rsidP="00000000" w:rsidRDefault="00000000" w:rsidRPr="00000000" w14:paraId="00000031">
            <w:pPr>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40" w:lineRule="auto"/>
              <w:jc w:val="left"/>
              <w:rPr>
                <w:b w:val="1"/>
                <w:sz w:val="22"/>
                <w:szCs w:val="22"/>
              </w:rPr>
            </w:pPr>
            <w:r w:rsidDel="00000000" w:rsidR="00000000" w:rsidRPr="00000000">
              <w:rPr>
                <w:b w:val="1"/>
                <w:sz w:val="22"/>
                <w:szCs w:val="22"/>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jc w:val="left"/>
              <w:rPr>
                <w:b w:val="1"/>
                <w:sz w:val="22"/>
                <w:szCs w:val="22"/>
              </w:rPr>
            </w:pPr>
            <w:r w:rsidDel="00000000" w:rsidR="00000000" w:rsidRPr="00000000">
              <w:rPr>
                <w:b w:val="1"/>
                <w:sz w:val="22"/>
                <w:szCs w:val="22"/>
                <w:rtl w:val="0"/>
              </w:rPr>
              <w:t xml:space="preserve">0.7682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left"/>
              <w:rPr>
                <w:b w:val="1"/>
                <w:sz w:val="22"/>
                <w:szCs w:val="22"/>
              </w:rPr>
            </w:pPr>
            <w:r w:rsidDel="00000000" w:rsidR="00000000" w:rsidRPr="00000000">
              <w:rPr>
                <w:b w:val="1"/>
                <w:sz w:val="22"/>
                <w:szCs w:val="22"/>
                <w:rtl w:val="0"/>
              </w:rPr>
              <w:t xml:space="preserve">0.3437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jc w:val="left"/>
              <w:rPr>
                <w:b w:val="1"/>
                <w:sz w:val="22"/>
                <w:szCs w:val="22"/>
              </w:rPr>
            </w:pPr>
            <w:r w:rsidDel="00000000" w:rsidR="00000000" w:rsidRPr="00000000">
              <w:rPr>
                <w:b w:val="1"/>
                <w:rtl w:val="0"/>
              </w:rPr>
              <w:t xml:space="preserve">LOF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jc w:val="left"/>
              <w:rPr>
                <w:b w:val="1"/>
              </w:rPr>
            </w:pPr>
            <w:r w:rsidDel="00000000" w:rsidR="00000000" w:rsidRPr="00000000">
              <w:rPr>
                <w:b w:val="1"/>
                <w:rtl w:val="0"/>
              </w:rPr>
              <w:t xml:space="preserve">상위</w:t>
            </w:r>
          </w:p>
          <w:p w:rsidR="00000000" w:rsidDel="00000000" w:rsidP="00000000" w:rsidRDefault="00000000" w:rsidRPr="00000000" w14:paraId="00000037">
            <w:pPr>
              <w:spacing w:after="0" w:line="240" w:lineRule="auto"/>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jc w:val="left"/>
              <w:rPr>
                <w:b w:val="1"/>
                <w:sz w:val="22"/>
                <w:szCs w:val="22"/>
              </w:rPr>
            </w:pPr>
            <w:r w:rsidDel="00000000" w:rsidR="00000000" w:rsidRPr="00000000">
              <w:rPr>
                <w:b w:val="1"/>
                <w:sz w:val="22"/>
                <w:szCs w:val="22"/>
                <w:rtl w:val="0"/>
              </w:rPr>
              <w:t xml:space="preserve">0.0567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jc w:val="left"/>
              <w:rPr>
                <w:b w:val="1"/>
                <w:sz w:val="22"/>
                <w:szCs w:val="22"/>
              </w:rPr>
            </w:pPr>
            <w:r w:rsidDel="00000000" w:rsidR="00000000" w:rsidRPr="00000000">
              <w:rPr>
                <w:b w:val="1"/>
                <w:sz w:val="22"/>
                <w:szCs w:val="22"/>
                <w:rtl w:val="0"/>
              </w:rPr>
              <w:t xml:space="preserve">0.9617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jc w:val="left"/>
              <w:rPr>
                <w:b w:val="1"/>
                <w:sz w:val="22"/>
                <w:szCs w:val="22"/>
              </w:rPr>
            </w:pPr>
            <w:r w:rsidDel="00000000" w:rsidR="00000000" w:rsidRPr="00000000">
              <w:rPr>
                <w:b w:val="1"/>
                <w:sz w:val="22"/>
                <w:szCs w:val="22"/>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jc w:val="left"/>
              <w:rPr>
                <w:b w:val="1"/>
              </w:rPr>
            </w:pPr>
            <w:r w:rsidDel="00000000" w:rsidR="00000000" w:rsidRPr="00000000">
              <w:rPr>
                <w:b w:val="1"/>
                <w:sz w:val="18"/>
                <w:szCs w:val="18"/>
                <w:rtl w:val="0"/>
              </w:rPr>
              <w:t xml:space="preserve">Parzen Window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jc w:val="left"/>
              <w:rPr>
                <w:b w:val="1"/>
              </w:rPr>
            </w:pPr>
            <w:r w:rsidDel="00000000" w:rsidR="00000000" w:rsidRPr="00000000">
              <w:rPr>
                <w:b w:val="1"/>
                <w:rtl w:val="0"/>
              </w:rPr>
              <w:t xml:space="preserve">상위</w:t>
            </w:r>
          </w:p>
          <w:p w:rsidR="00000000" w:rsidDel="00000000" w:rsidP="00000000" w:rsidRDefault="00000000" w:rsidRPr="00000000" w14:paraId="0000003D">
            <w:pPr>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jc w:val="left"/>
              <w:rPr>
                <w:b w:val="1"/>
                <w:sz w:val="22"/>
                <w:szCs w:val="22"/>
              </w:rPr>
            </w:pPr>
            <w:r w:rsidDel="00000000" w:rsidR="00000000" w:rsidRPr="00000000">
              <w:rPr>
                <w:b w:val="1"/>
                <w:sz w:val="22"/>
                <w:szCs w:val="22"/>
                <w:rtl w:val="0"/>
              </w:rPr>
              <w:t xml:space="preserve">0.0682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jc w:val="left"/>
              <w:rPr>
                <w:b w:val="1"/>
                <w:sz w:val="22"/>
                <w:szCs w:val="22"/>
              </w:rPr>
            </w:pPr>
            <w:r w:rsidDel="00000000" w:rsidR="00000000" w:rsidRPr="00000000">
              <w:rPr>
                <w:b w:val="1"/>
                <w:sz w:val="22"/>
                <w:szCs w:val="22"/>
                <w:rtl w:val="0"/>
              </w:rPr>
              <w:t xml:space="preserve">0.7456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jc w:val="left"/>
              <w:rPr>
                <w:b w:val="1"/>
                <w:sz w:val="22"/>
                <w:szCs w:val="22"/>
              </w:rPr>
            </w:pPr>
            <w:r w:rsidDel="00000000" w:rsidR="00000000" w:rsidRPr="00000000">
              <w:rPr>
                <w:b w:val="1"/>
                <w:sz w:val="22"/>
                <w:szCs w:val="22"/>
                <w:rtl w:val="0"/>
              </w:rPr>
              <w:t xml:space="preserve">0.3847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jc w:val="left"/>
              <w:rPr>
                <w:b w:val="1"/>
                <w:sz w:val="18"/>
                <w:szCs w:val="18"/>
              </w:rPr>
            </w:pPr>
            <w:r w:rsidDel="00000000" w:rsidR="00000000" w:rsidRPr="00000000">
              <w:rPr>
                <w:b w:val="1"/>
                <w:sz w:val="18"/>
                <w:szCs w:val="18"/>
                <w:rtl w:val="0"/>
              </w:rPr>
              <w:t xml:space="preserve">Auto</w:t>
            </w:r>
          </w:p>
          <w:p w:rsidR="00000000" w:rsidDel="00000000" w:rsidP="00000000" w:rsidRDefault="00000000" w:rsidRPr="00000000" w14:paraId="00000042">
            <w:pPr>
              <w:spacing w:after="0" w:line="240" w:lineRule="auto"/>
              <w:jc w:val="left"/>
              <w:rPr>
                <w:b w:val="1"/>
                <w:sz w:val="18"/>
                <w:szCs w:val="18"/>
              </w:rPr>
            </w:pPr>
            <w:r w:rsidDel="00000000" w:rsidR="00000000" w:rsidRPr="00000000">
              <w:rPr>
                <w:b w:val="1"/>
                <w:sz w:val="18"/>
                <w:szCs w:val="18"/>
                <w:rtl w:val="0"/>
              </w:rPr>
              <w:t xml:space="preserve">encoder</w:t>
            </w:r>
          </w:p>
          <w:p w:rsidR="00000000" w:rsidDel="00000000" w:rsidP="00000000" w:rsidRDefault="00000000" w:rsidRPr="00000000" w14:paraId="00000043">
            <w:pPr>
              <w:spacing w:after="0" w:line="240" w:lineRule="auto"/>
              <w:jc w:val="left"/>
              <w:rPr>
                <w:b w:val="1"/>
                <w:sz w:val="18"/>
                <w:szCs w:val="18"/>
              </w:rPr>
            </w:pPr>
            <w:r w:rsidDel="00000000" w:rsidR="00000000" w:rsidRPr="00000000">
              <w:rPr>
                <w:b w:val="1"/>
                <w:sz w:val="18"/>
                <w:szCs w:val="18"/>
                <w:rtl w:val="0"/>
              </w:rPr>
              <w:t xml:space="preserve">(</w:t>
            </w:r>
            <w:r w:rsidDel="00000000" w:rsidR="00000000" w:rsidRPr="00000000">
              <w:rPr>
                <w:rFonts w:ascii="Courier New" w:cs="Courier New" w:eastAsia="Courier New" w:hAnsi="Courier New"/>
                <w:b w:val="1"/>
                <w:sz w:val="21"/>
                <w:szCs w:val="21"/>
                <w:rtl w:val="0"/>
              </w:rPr>
              <w:t xml:space="preserve">MLPRegressor</w:t>
            </w:r>
            <w:r w:rsidDel="00000000" w:rsidR="00000000" w:rsidRPr="00000000">
              <w:rPr>
                <w:b w:val="1"/>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jc w:val="left"/>
              <w:rPr>
                <w:b w:val="1"/>
              </w:rPr>
            </w:pPr>
            <w:r w:rsidDel="00000000" w:rsidR="00000000" w:rsidRPr="00000000">
              <w:rPr>
                <w:b w:val="1"/>
                <w:rtl w:val="0"/>
              </w:rPr>
              <w:t xml:space="preserve">상위</w:t>
            </w:r>
          </w:p>
          <w:p w:rsidR="00000000" w:rsidDel="00000000" w:rsidP="00000000" w:rsidRDefault="00000000" w:rsidRPr="00000000" w14:paraId="00000045">
            <w:pPr>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jc w:val="left"/>
              <w:rPr>
                <w:b w:val="1"/>
                <w:sz w:val="22"/>
                <w:szCs w:val="22"/>
              </w:rPr>
            </w:pPr>
            <w:r w:rsidDel="00000000" w:rsidR="00000000" w:rsidRPr="00000000">
              <w:rPr>
                <w:b w:val="1"/>
                <w:sz w:val="22"/>
                <w:szCs w:val="22"/>
                <w:rtl w:val="0"/>
              </w:rPr>
              <w:t xml:space="preserve">0.1387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jc w:val="left"/>
              <w:rPr>
                <w:b w:val="1"/>
                <w:color w:val="ff0000"/>
                <w:sz w:val="22"/>
                <w:szCs w:val="22"/>
              </w:rPr>
            </w:pPr>
            <w:r w:rsidDel="00000000" w:rsidR="00000000" w:rsidRPr="00000000">
              <w:rPr>
                <w:b w:val="1"/>
                <w:color w:val="ff0000"/>
                <w:sz w:val="22"/>
                <w:szCs w:val="22"/>
                <w:rtl w:val="0"/>
              </w:rPr>
              <w:t xml:space="preserve">0.6911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jc w:val="left"/>
              <w:rPr>
                <w:b w:val="1"/>
                <w:sz w:val="22"/>
                <w:szCs w:val="22"/>
              </w:rPr>
            </w:pPr>
            <w:r w:rsidDel="00000000" w:rsidR="00000000" w:rsidRPr="00000000">
              <w:rPr>
                <w:b w:val="1"/>
                <w:sz w:val="22"/>
                <w:szCs w:val="22"/>
                <w:rtl w:val="0"/>
              </w:rPr>
              <w:t xml:space="preserve">0.4268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jc w:val="left"/>
              <w:rPr>
                <w:b w:val="1"/>
                <w:sz w:val="18"/>
                <w:szCs w:val="18"/>
              </w:rPr>
            </w:pPr>
            <w:r w:rsidDel="00000000" w:rsidR="00000000" w:rsidRPr="00000000">
              <w:rPr>
                <w:b w:val="1"/>
                <w:sz w:val="18"/>
                <w:szCs w:val="18"/>
                <w:rtl w:val="0"/>
              </w:rPr>
              <w:t xml:space="preserve">Auto</w:t>
            </w:r>
          </w:p>
          <w:p w:rsidR="00000000" w:rsidDel="00000000" w:rsidP="00000000" w:rsidRDefault="00000000" w:rsidRPr="00000000" w14:paraId="0000004A">
            <w:pPr>
              <w:spacing w:after="0" w:line="240" w:lineRule="auto"/>
              <w:jc w:val="left"/>
              <w:rPr>
                <w:b w:val="1"/>
                <w:sz w:val="18"/>
                <w:szCs w:val="18"/>
              </w:rPr>
            </w:pPr>
            <w:r w:rsidDel="00000000" w:rsidR="00000000" w:rsidRPr="00000000">
              <w:rPr>
                <w:b w:val="1"/>
                <w:sz w:val="18"/>
                <w:szCs w:val="18"/>
                <w:rtl w:val="0"/>
              </w:rPr>
              <w:t xml:space="preserve">encoder</w:t>
            </w:r>
          </w:p>
          <w:p w:rsidR="00000000" w:rsidDel="00000000" w:rsidP="00000000" w:rsidRDefault="00000000" w:rsidRPr="00000000" w14:paraId="0000004B">
            <w:pPr>
              <w:spacing w:after="0" w:line="240" w:lineRule="auto"/>
              <w:jc w:val="left"/>
              <w:rPr>
                <w:b w:val="1"/>
                <w:sz w:val="18"/>
                <w:szCs w:val="18"/>
              </w:rPr>
            </w:pPr>
            <w:r w:rsidDel="00000000" w:rsidR="00000000" w:rsidRPr="00000000">
              <w:rPr>
                <w:b w:val="1"/>
                <w:sz w:val="18"/>
                <w:szCs w:val="18"/>
                <w:rtl w:val="0"/>
              </w:rPr>
              <w:t xml:space="preserve">(tensorflow)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jc w:val="left"/>
              <w:rPr>
                <w:b w:val="1"/>
              </w:rPr>
            </w:pPr>
            <w:r w:rsidDel="00000000" w:rsidR="00000000" w:rsidRPr="00000000">
              <w:rPr>
                <w:b w:val="1"/>
                <w:rtl w:val="0"/>
              </w:rPr>
              <w:t xml:space="preserve">상위</w:t>
            </w:r>
          </w:p>
          <w:p w:rsidR="00000000" w:rsidDel="00000000" w:rsidP="00000000" w:rsidRDefault="00000000" w:rsidRPr="00000000" w14:paraId="0000004D">
            <w:pPr>
              <w:spacing w:after="0" w:line="240" w:lineRule="auto"/>
              <w:jc w:val="left"/>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40" w:lineRule="auto"/>
              <w:jc w:val="left"/>
              <w:rPr>
                <w:b w:val="1"/>
                <w:sz w:val="22"/>
                <w:szCs w:val="22"/>
              </w:rPr>
            </w:pPr>
            <w:r w:rsidDel="00000000" w:rsidR="00000000" w:rsidRPr="00000000">
              <w:rPr>
                <w:b w:val="1"/>
                <w:sz w:val="22"/>
                <w:szCs w:val="22"/>
                <w:rtl w:val="0"/>
              </w:rPr>
              <w:t xml:space="preserve">0.1431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jc w:val="left"/>
              <w:rPr>
                <w:b w:val="1"/>
                <w:sz w:val="22"/>
                <w:szCs w:val="22"/>
              </w:rPr>
            </w:pPr>
            <w:r w:rsidDel="00000000" w:rsidR="00000000" w:rsidRPr="00000000">
              <w:rPr>
                <w:b w:val="1"/>
                <w:sz w:val="22"/>
                <w:szCs w:val="22"/>
                <w:rtl w:val="0"/>
              </w:rPr>
              <w:t xml:space="preserve">0.7188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jc w:val="left"/>
              <w:rPr>
                <w:b w:val="1"/>
                <w:sz w:val="22"/>
                <w:szCs w:val="22"/>
              </w:rPr>
            </w:pPr>
            <w:r w:rsidDel="00000000" w:rsidR="00000000" w:rsidRPr="00000000">
              <w:rPr>
                <w:b w:val="1"/>
                <w:sz w:val="22"/>
                <w:szCs w:val="22"/>
                <w:rtl w:val="0"/>
              </w:rPr>
              <w:t xml:space="preserve">0.3948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jc w:val="left"/>
              <w:rPr>
                <w:b w:val="1"/>
              </w:rPr>
            </w:pPr>
            <w:r w:rsidDel="00000000" w:rsidR="00000000" w:rsidRPr="00000000">
              <w:rPr>
                <w:b w:val="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jc w:val="left"/>
              <w:rPr>
                <w:b w:val="1"/>
              </w:rPr>
            </w:pPr>
            <w:r w:rsidDel="00000000" w:rsidR="00000000" w:rsidRPr="00000000">
              <w:rPr>
                <w:b w:val="1"/>
                <w:rtl w:val="0"/>
              </w:rPr>
              <w:t xml:space="preserve">상위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jc w:val="left"/>
              <w:rPr>
                <w:b w:val="1"/>
                <w:sz w:val="22"/>
                <w:szCs w:val="22"/>
              </w:rPr>
            </w:pPr>
            <w:r w:rsidDel="00000000" w:rsidR="00000000" w:rsidRPr="00000000">
              <w:rPr>
                <w:b w:val="1"/>
                <w:sz w:val="22"/>
                <w:szCs w:val="22"/>
                <w:rtl w:val="0"/>
              </w:rPr>
              <w:t xml:space="preserve">0.0441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jc w:val="left"/>
              <w:rPr>
                <w:b w:val="1"/>
                <w:color w:val="ff0000"/>
                <w:sz w:val="22"/>
                <w:szCs w:val="22"/>
              </w:rPr>
            </w:pPr>
            <w:r w:rsidDel="00000000" w:rsidR="00000000" w:rsidRPr="00000000">
              <w:rPr>
                <w:b w:val="1"/>
                <w:color w:val="ff0000"/>
                <w:sz w:val="22"/>
                <w:szCs w:val="22"/>
                <w:rtl w:val="0"/>
              </w:rPr>
              <w:t xml:space="preserve">0.6409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jc w:val="left"/>
              <w:rPr>
                <w:b w:val="1"/>
                <w:sz w:val="22"/>
                <w:szCs w:val="22"/>
              </w:rPr>
            </w:pPr>
            <w:r w:rsidDel="00000000" w:rsidR="00000000" w:rsidRPr="00000000">
              <w:rPr>
                <w:b w:val="1"/>
                <w:sz w:val="22"/>
                <w:szCs w:val="22"/>
                <w:rtl w:val="0"/>
              </w:rPr>
              <w:t xml:space="preserve">0.4421</w:t>
            </w:r>
          </w:p>
        </w:tc>
      </w:tr>
      <w:tr>
        <w:trPr>
          <w:cantSplit w:val="0"/>
          <w:trHeight w:val="42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jc w:val="left"/>
              <w:rPr>
                <w:b w:val="1"/>
              </w:rPr>
            </w:pPr>
            <w:r w:rsidDel="00000000" w:rsidR="00000000" w:rsidRPr="00000000">
              <w:rPr>
                <w:b w:val="1"/>
                <w:rtl w:val="0"/>
              </w:rPr>
              <w:t xml:space="preserve">k-Means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jc w:val="left"/>
              <w:rPr>
                <w:b w:val="1"/>
              </w:rPr>
            </w:pPr>
            <w:r w:rsidDel="00000000" w:rsidR="00000000" w:rsidRPr="00000000">
              <w:rPr>
                <w:b w:val="1"/>
                <w:rtl w:val="0"/>
              </w:rPr>
              <w:t xml:space="preserve">상위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jc w:val="left"/>
              <w:rPr>
                <w:b w:val="1"/>
              </w:rPr>
            </w:pPr>
            <w:r w:rsidDel="00000000" w:rsidR="00000000" w:rsidRPr="00000000">
              <w:rPr>
                <w:b w:val="1"/>
                <w:rtl w:val="0"/>
              </w:rPr>
              <w:t xml:space="preserve">0.0906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jc w:val="left"/>
              <w:rPr>
                <w:b w:val="1"/>
                <w:color w:val="ff0000"/>
              </w:rPr>
            </w:pPr>
            <w:r w:rsidDel="00000000" w:rsidR="00000000" w:rsidRPr="00000000">
              <w:rPr>
                <w:b w:val="1"/>
                <w:color w:val="ff0000"/>
                <w:rtl w:val="0"/>
              </w:rPr>
              <w:t xml:space="preserve">0.5028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jc w:val="left"/>
              <w:rPr>
                <w:b w:val="1"/>
              </w:rPr>
            </w:pPr>
            <w:r w:rsidDel="00000000" w:rsidR="00000000" w:rsidRPr="00000000">
              <w:rPr>
                <w:b w:val="1"/>
                <w:rtl w:val="0"/>
              </w:rPr>
              <w:t xml:space="preserve">0.4905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jc w:val="left"/>
              <w:rPr>
                <w:b w:val="1"/>
              </w:rPr>
            </w:pPr>
            <w:r w:rsidDel="00000000" w:rsidR="00000000" w:rsidRPr="00000000">
              <w:rPr>
                <w:b w:val="1"/>
                <w:rtl w:val="0"/>
              </w:rPr>
              <w:t xml:space="preserve">DBSCAN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240" w:lineRule="auto"/>
              <w:jc w:val="left"/>
              <w:rPr>
                <w:b w:val="1"/>
              </w:rPr>
            </w:pPr>
            <w:r w:rsidDel="00000000" w:rsidR="00000000" w:rsidRPr="00000000">
              <w:rPr>
                <w:b w:val="1"/>
                <w:rtl w:val="0"/>
              </w:rPr>
              <w:t xml:space="preserve">상위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jc w:val="left"/>
              <w:rPr>
                <w:b w:val="1"/>
              </w:rPr>
            </w:pPr>
            <w:r w:rsidDel="00000000" w:rsidR="00000000" w:rsidRPr="00000000">
              <w:rPr>
                <w:b w:val="1"/>
                <w:rtl w:val="0"/>
              </w:rPr>
              <w:t xml:space="preserve">0.1517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jc w:val="left"/>
              <w:rPr>
                <w:b w:val="1"/>
              </w:rPr>
            </w:pPr>
            <w:r w:rsidDel="00000000" w:rsidR="00000000" w:rsidRPr="00000000">
              <w:rPr>
                <w:b w:val="1"/>
                <w:rtl w:val="0"/>
              </w:rPr>
              <w:t xml:space="preserve">0.821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jc w:val="left"/>
              <w:rPr>
                <w:b w:val="1"/>
              </w:rPr>
            </w:pPr>
            <w:r w:rsidDel="00000000" w:rsidR="00000000" w:rsidRPr="00000000">
              <w:rPr>
                <w:b w:val="1"/>
                <w:rtl w:val="0"/>
              </w:rPr>
              <w:t xml:space="preserve">0.1733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jc w:val="left"/>
              <w:rPr>
                <w:b w:val="1"/>
              </w:rPr>
            </w:pPr>
            <w:r w:rsidDel="00000000" w:rsidR="00000000" w:rsidRPr="00000000">
              <w:rPr>
                <w:b w:val="1"/>
                <w:rtl w:val="0"/>
              </w:rPr>
              <w:t xml:space="preserve">Isolation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jc w:val="left"/>
              <w:rPr>
                <w:b w:val="1"/>
              </w:rPr>
            </w:pPr>
            <w:r w:rsidDel="00000000" w:rsidR="00000000" w:rsidRPr="00000000">
              <w:rPr>
                <w:b w:val="1"/>
                <w:rtl w:val="0"/>
              </w:rPr>
              <w:t xml:space="preserve">상위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jc w:val="left"/>
              <w:rPr>
                <w:b w:val="1"/>
              </w:rPr>
            </w:pPr>
            <w:r w:rsidDel="00000000" w:rsidR="00000000" w:rsidRPr="00000000">
              <w:rPr>
                <w:b w:val="1"/>
                <w:rtl w:val="0"/>
              </w:rPr>
              <w:t xml:space="preserve">0.1373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jc w:val="left"/>
              <w:rPr>
                <w:b w:val="1"/>
              </w:rPr>
            </w:pPr>
            <w:r w:rsidDel="00000000" w:rsidR="00000000" w:rsidRPr="00000000">
              <w:rPr>
                <w:b w:val="1"/>
                <w:rtl w:val="0"/>
              </w:rPr>
              <w:t xml:space="preserve">0.7758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jc w:val="left"/>
              <w:rPr>
                <w:b w:val="1"/>
              </w:rPr>
            </w:pPr>
            <w:r w:rsidDel="00000000" w:rsidR="00000000" w:rsidRPr="00000000">
              <w:rPr>
                <w:b w:val="1"/>
                <w:rtl w:val="0"/>
              </w:rPr>
              <w:t xml:space="preserve">0.2212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jc w:val="left"/>
              <w:rPr>
                <w:b w:val="1"/>
              </w:rPr>
            </w:pPr>
            <w:r w:rsidDel="00000000" w:rsidR="00000000" w:rsidRPr="00000000">
              <w:rPr>
                <w:b w:val="1"/>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jc w:val="left"/>
              <w:rPr>
                <w:b w:val="1"/>
              </w:rPr>
            </w:pPr>
            <w:r w:rsidDel="00000000" w:rsidR="00000000" w:rsidRPr="00000000">
              <w:rPr>
                <w:b w:val="1"/>
                <w:rtl w:val="0"/>
              </w:rPr>
              <w:t xml:space="preserve">상위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jc w:val="left"/>
              <w:rPr>
                <w:b w:val="1"/>
              </w:rPr>
            </w:pPr>
            <w:r w:rsidDel="00000000" w:rsidR="00000000" w:rsidRPr="00000000">
              <w:rPr>
                <w:b w:val="1"/>
                <w:rtl w:val="0"/>
              </w:rPr>
              <w:t xml:space="preserve">0.1373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jc w:val="left"/>
              <w:rPr>
                <w:b w:val="1"/>
              </w:rPr>
            </w:pPr>
            <w:r w:rsidDel="00000000" w:rsidR="00000000" w:rsidRPr="00000000">
              <w:rPr>
                <w:b w:val="1"/>
                <w:rtl w:val="0"/>
              </w:rPr>
              <w:t xml:space="preserve">0.7758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jc w:val="left"/>
              <w:rPr>
                <w:b w:val="1"/>
              </w:rPr>
            </w:pPr>
            <w:r w:rsidDel="00000000" w:rsidR="00000000" w:rsidRPr="00000000">
              <w:rPr>
                <w:b w:val="1"/>
                <w:rtl w:val="0"/>
              </w:rPr>
              <w:t xml:space="preserve">0.2212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jc w:val="left"/>
              <w:rPr>
                <w:b w:val="1"/>
              </w:rPr>
            </w:pPr>
            <w:r w:rsidDel="00000000" w:rsidR="00000000" w:rsidRPr="00000000">
              <w:rPr>
                <w:rtl w:val="0"/>
              </w:rPr>
            </w:r>
          </w:p>
        </w:tc>
      </w:tr>
    </w:tbl>
    <w:p w:rsidR="00000000" w:rsidDel="00000000" w:rsidP="00000000" w:rsidRDefault="00000000" w:rsidRPr="00000000" w14:paraId="0000006F">
      <w:pPr>
        <w:pStyle w:val="Heading1"/>
        <w:jc w:val="left"/>
        <w:rPr>
          <w:b w:val="0"/>
          <w:sz w:val="30"/>
          <w:szCs w:val="30"/>
          <w:vertAlign w:val="superscript"/>
        </w:rPr>
      </w:pPr>
      <w:bookmarkStart w:colFirst="0" w:colLast="0" w:name="_heading=h.hlav3034ep51" w:id="0"/>
      <w:bookmarkEnd w:id="0"/>
      <w:r w:rsidDel="00000000" w:rsidR="00000000" w:rsidRPr="00000000">
        <w:rPr>
          <w:b w:val="0"/>
          <w:sz w:val="30"/>
          <w:szCs w:val="30"/>
          <w:vertAlign w:val="superscript"/>
          <w:rtl w:val="0"/>
        </w:rPr>
        <w:t xml:space="preserve">본 실험에서  정기예금을 가입할 확률이 높은 사람들을 가입하지 않을 것으로 예측하는 것을 예방하여 고객 유치를 하는 것을 목적으로 한다. 따라서 실험 목적에 맞는 지표인 FAR가 낮은 모델이 성능이 좋은 모델이라고 판단하였다. 해당 기준에 따르면 성능이 좋다고 판단되는 모델은 1.~~~~ 2.~~~~ 3.~~~~으로 확인되었다.</w:t>
      </w:r>
    </w:p>
    <w:p w:rsidR="00000000" w:rsidDel="00000000" w:rsidP="00000000" w:rsidRDefault="00000000" w:rsidRPr="00000000" w14:paraId="00000070">
      <w:pPr>
        <w:rPr>
          <w:vertAlign w:val="superscript"/>
        </w:rPr>
      </w:pPr>
      <w:r w:rsidDel="00000000" w:rsidR="00000000" w:rsidRPr="00000000">
        <w:rPr>
          <w:vertAlign w:val="superscript"/>
          <w:rtl w:val="0"/>
        </w:rPr>
        <w:t xml:space="preserve">poutcome</w:t>
      </w:r>
    </w:p>
    <w:p w:rsidR="00000000" w:rsidDel="00000000" w:rsidP="00000000" w:rsidRDefault="00000000" w:rsidRPr="00000000" w14:paraId="00000071">
      <w:pPr>
        <w:rPr>
          <w:vertAlign w:val="superscript"/>
        </w:rPr>
      </w:pPr>
      <w:r w:rsidDel="00000000" w:rsidR="00000000" w:rsidRPr="00000000">
        <w:rPr>
          <w:rtl w:val="0"/>
        </w:rPr>
      </w:r>
    </w:p>
    <w:p w:rsidR="00000000" w:rsidDel="00000000" w:rsidP="00000000" w:rsidRDefault="00000000" w:rsidRPr="00000000" w14:paraId="00000072">
      <w:pPr>
        <w:rPr>
          <w:vertAlign w:val="superscript"/>
        </w:rPr>
      </w:pPr>
      <w:r w:rsidDel="00000000" w:rsidR="00000000" w:rsidRPr="00000000">
        <w:rPr>
          <w:rtl w:val="0"/>
        </w:rPr>
      </w:r>
    </w:p>
    <w:p w:rsidR="00000000" w:rsidDel="00000000" w:rsidP="00000000" w:rsidRDefault="00000000" w:rsidRPr="00000000" w14:paraId="00000073">
      <w:pPr>
        <w:rPr>
          <w:vertAlign w:val="superscript"/>
        </w:rPr>
      </w:pPr>
      <w:r w:rsidDel="00000000" w:rsidR="00000000" w:rsidRPr="00000000">
        <w:rPr>
          <w:rtl w:val="0"/>
        </w:rPr>
      </w:r>
    </w:p>
    <w:p w:rsidR="00000000" w:rsidDel="00000000" w:rsidP="00000000" w:rsidRDefault="00000000" w:rsidRPr="00000000" w14:paraId="00000074">
      <w:pPr>
        <w:rPr>
          <w:sz w:val="32"/>
          <w:szCs w:val="32"/>
          <w:vertAlign w:val="superscript"/>
        </w:rPr>
      </w:pPr>
      <w:r w:rsidDel="00000000" w:rsidR="00000000" w:rsidRPr="00000000">
        <w:rPr>
          <w:rtl w:val="0"/>
        </w:rPr>
      </w:r>
    </w:p>
    <w:sectPr>
      <w:type w:val="continuous"/>
      <w:pgSz w:h="16838" w:w="11906" w:orient="portrait"/>
      <w:pgMar w:bottom="1440" w:top="1701" w:left="1440" w:right="1440" w:header="851" w:footer="992"/>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https://www.yna.co.kr/view/AKR20221022044000002?input=1195m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note text"/>
    <w:basedOn w:val="a"/>
    <w:link w:val="Char"/>
    <w:uiPriority w:val="99"/>
    <w:semiHidden w:val="1"/>
    <w:unhideWhenUsed w:val="1"/>
    <w:rsid w:val="0047749B"/>
    <w:pPr>
      <w:snapToGrid w:val="0"/>
      <w:jc w:val="left"/>
    </w:pPr>
  </w:style>
  <w:style w:type="character" w:styleId="Char" w:customStyle="1">
    <w:name w:val="각주 텍스트 Char"/>
    <w:basedOn w:val="a0"/>
    <w:link w:val="a3"/>
    <w:uiPriority w:val="99"/>
    <w:semiHidden w:val="1"/>
    <w:rsid w:val="0047749B"/>
  </w:style>
  <w:style w:type="character" w:styleId="a4">
    <w:name w:val="footnote reference"/>
    <w:basedOn w:val="a0"/>
    <w:uiPriority w:val="99"/>
    <w:semiHidden w:val="1"/>
    <w:unhideWhenUsed w:val="1"/>
    <w:rsid w:val="0047749B"/>
    <w:rPr>
      <w:vertAlign w:val="superscript"/>
    </w:rPr>
  </w:style>
  <w:style w:type="paragraph" w:styleId="a5">
    <w:name w:val="endnote text"/>
    <w:basedOn w:val="a"/>
    <w:link w:val="Char0"/>
    <w:uiPriority w:val="99"/>
    <w:semiHidden w:val="1"/>
    <w:unhideWhenUsed w:val="1"/>
    <w:rsid w:val="0047749B"/>
    <w:pPr>
      <w:snapToGrid w:val="0"/>
      <w:jc w:val="left"/>
    </w:pPr>
  </w:style>
  <w:style w:type="character" w:styleId="Char0" w:customStyle="1">
    <w:name w:val="미주 텍스트 Char"/>
    <w:basedOn w:val="a0"/>
    <w:link w:val="a5"/>
    <w:uiPriority w:val="99"/>
    <w:semiHidden w:val="1"/>
    <w:rsid w:val="0047749B"/>
  </w:style>
  <w:style w:type="character" w:styleId="a6">
    <w:name w:val="endnote reference"/>
    <w:basedOn w:val="a0"/>
    <w:uiPriority w:val="99"/>
    <w:semiHidden w:val="1"/>
    <w:unhideWhenUsed w:val="1"/>
    <w:rsid w:val="0047749B"/>
    <w:rPr>
      <w:vertAlign w:val="superscript"/>
    </w:rPr>
  </w:style>
  <w:style w:type="paragraph" w:styleId="a7">
    <w:name w:val="List Paragraph"/>
    <w:basedOn w:val="a"/>
    <w:uiPriority w:val="34"/>
    <w:qFormat w:val="1"/>
    <w:rsid w:val="0047749B"/>
    <w:pPr>
      <w:ind w:left="80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bZ0cqaoSLtHYzpLp9LMAns96A==">AMUW2mVxmh1nqT+qqodakkUB0eOTXOKBRew2+tdaE3umyClRejCJCDek80gM2f24Akinm3HMPsIo+WoIpDey/tPjC5Lv/X5xUa/Ratvcdxm2tbSNNuEavg3ggnQRyRraTVjYGUM/a7fq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2022-10-18T11:36:00Z</dcterms:created>
  <dc:creator>이 현수</dc:creator>
</cp:coreProperties>
</file>