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vieirasilvajosepedro@gmail.com /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the previous model version scored 75.4% (N = 484); on 13 field photographs the current one scores 83.8%, a sample too small to distinguish model versions.</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a versão anterior do modelo obteve 75,4% (N = 484); em 13 fotografias de campo, a atual obtém 83,8%, amostra insuficiente para distinguir versões do modelo.</w:t>
      </w:r>
    </w:p>
    <w:p>
      <w:pPr>
        <w:pStyle w:val="Heading1"/>
      </w:pPr>
      <w:r>
        <w:t>1. Introdução</w:t>
      </w:r>
    </w:p>
    <w:p>
      <w:pPr/>
      <w:r>
        <w:t>Segundo o Censo Agropecuário de 2017, 77% dos estabelecimentos rurais brasileiros pertencem à agricultura familiar (IBGE, 2019), segmento no qual o diagnóstico fitossanitário ainda depende predominantemente de inspeção visual manual — processo lento, inconsistente e condicionado à experiência do produtor.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 aprendizado profundo tornou-se a abordagem dominante para o diagnóstico foliar automatizado desde que Mohanty, Hughes e Salathé (2016) reportaram acurácias superiores a 99% com redes neurais convolucionais (CNNs) treinadas no dataset PlantVillage. Esse desempenho, contudo, é obtido sobre imagens de estúdio — folha isolada, fundo homogêneo, iluminação controlada — e a literatura registra quedas acentuadas quando os mesmos modelos são aplicados a fotografias de lavoura, fenômeno denominado </w:t>
      </w:r>
      <w:r>
        <w:rPr>
          <w:i/>
        </w:rPr>
        <w:t>domain gap</w:t>
      </w:r>
      <w:r>
        <w:t xml:space="preserve"> (Barbedo, 2018; Ahmad; Gamal; Saraswat, 2023). Some-se a isso um problema menos discutido: a validade do próprio protocolo de avaliação. Na primeira fase deste trabalho (TCC-I), uma auditoria por hash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w:t>
      </w:r>
    </w:p>
    <w:p>
      <w:pPr/>
      <w:r>
        <w:t>Esses resultados deslocam o problema: a questão deixa de ser se uma CNN classifica folhas de estúdio e passa a ser quanto um sistema desse tipo vale em uso real. Como um sistema que erra com aparência de certeza transfere confiança indevida ao produtor, a calibração da confiança e a capacidade de abster-se fazem parte do objeto de estudo.</w:t>
      </w:r>
    </w:p>
    <w:p>
      <w:pPr>
        <w:pStyle w:val="Heading2"/>
      </w:pPr>
      <w:r>
        <w:t>1.1 Questão de pesquisa</w:t>
      </w:r>
    </w:p>
    <w:p>
      <w:pPr/>
      <w:r>
        <w:t xml:space="preserve">Diante do exposto, este trabalho busca responder à seguinte questão de pesquisa: </w:t>
      </w:r>
      <w:r>
        <w:rPr>
          <w:b/>
        </w:rPr>
        <w:t>em que medida um sistema de triagem fitossanitária para hortaliças folhosas, baseado em redes neurais convolucionais com transfer learning, treinado com imagens públicas auditadas contra vazamento de dados e dotado de calibração de confiança e mecanismo de abstenção, mantém desempenho confiável quando aplicado a fotografias capturadas em condições reais de campo?</w:t>
      </w:r>
    </w:p>
    <w:p>
      <w:pPr/>
      <w:r>
        <w:t xml:space="preserve">A questão desdobra-se em três perguntas operacionais, que orientam a análise dos dados descrita na Seção 3.5: (Q1) qual arquitetura apresenta o melhor desempenho no domínio de teste, com significância estatística; (Q2) em que medida as probabilidades calibradas e o limiar de abstenção interceptam os erros do modelo; e (Q3) qual é a magnitude do </w:t>
      </w:r>
      <w:r>
        <w:rPr>
          <w:i/>
        </w:rPr>
        <w:t>domain gap</w:t>
      </w:r>
      <w:r>
        <w:t xml:space="preserve"> entre laboratório e campo e se ele varia conforme a cultura, o tipo de manifestação do sintoma e a distância de captura.</w:t>
      </w:r>
    </w:p>
    <w:p>
      <w:pPr>
        <w:pStyle w:val="Heading2"/>
      </w:pPr>
      <w:r>
        <w:t>1.2 Objetivos</w:t>
      </w:r>
    </w:p>
    <w:p>
      <w:pPr/>
      <w:r>
        <w:t xml:space="preserve">O </w:t>
      </w:r>
      <w:r>
        <w:rPr>
          <w:b/>
        </w:rPr>
        <w:t>objetivo geral</w:t>
      </w:r>
      <w:r>
        <w:t xml:space="preserve"> deste trabalho é avaliar o desempenho e a confiabilidade de um sistema de detecção automática de anomalias fitossanitárias em hortaliças folhosas, baseado em transfer learning com as redes convolucionais EfficientNet-B0, MobileNetV2 e ResNet-50 e, como arquitetura de contraste, o Vision Transformer ViT-B/16, quantificando com rigor estatístico a diferença entre o desempenho obtido em laboratório e em condições reais de campo.</w:t>
      </w:r>
    </w:p>
    <w:p>
      <w:pPr/>
      <w:r>
        <w:t xml:space="preserve">Para atingi-lo, definem-se os seguintes </w:t>
      </w:r>
      <w:r>
        <w:rPr>
          <w:b/>
        </w:rPr>
        <w:t>objetivos específicos</w:t>
      </w:r>
      <w:r>
        <w:t>:</w:t>
      </w:r>
    </w:p>
    <w:p>
      <w:pPr>
        <w:pStyle w:val="ItemLista"/>
        <w:tabs>
          <w:tab w:pos="709" w:val="left"/>
        </w:tabs>
      </w:pPr>
      <w:r>
        <w:t>a)</w:t>
        <w:tab/>
      </w:r>
      <w:r>
        <w:t>consolidar o conjunto de dados de treinamento a partir de fontes públicas, com deduplicação por hash perceptual e particionamento agrupado, reportando o vazamento residual entre partições;</w:t>
      </w:r>
    </w:p>
    <w:p>
      <w:pPr>
        <w:pStyle w:val="ItemLista"/>
        <w:tabs>
          <w:tab w:pos="709" w:val="left"/>
        </w:tabs>
      </w:pPr>
      <w:r>
        <w:t>b)</w:t>
        <w:tab/>
      </w:r>
      <w:r>
        <w:t>comparar o desempenho das arquiteturas no conjunto de teste, com métricas robustas ao desbalanceamento de classes e teste estatístico pareado;</w:t>
      </w:r>
    </w:p>
    <w:p>
      <w:pPr>
        <w:pStyle w:val="ItemLista"/>
        <w:tabs>
          <w:tab w:pos="709" w:val="left"/>
        </w:tabs>
      </w:pPr>
      <w:r>
        <w:t>c)</w:t>
        <w:tab/>
      </w:r>
      <w:r>
        <w:t>avaliar a calibração das probabilidades de saída e a eficácia do mecanismo de abstenção em interceptar erros de classificação;</w:t>
      </w:r>
    </w:p>
    <w:p>
      <w:pPr>
        <w:pStyle w:val="ItemLista"/>
        <w:tabs>
          <w:tab w:pos="709" w:val="left"/>
        </w:tabs>
      </w:pPr>
      <w:r>
        <w:t>d)</w:t>
        <w:tab/>
      </w:r>
      <w:r>
        <w:t>construir um conjunto de validação de campo com gabarito, abrangendo mais de uma cultura, diferentes tipos de sintoma e diferentes distâncias de captura;</w:t>
      </w:r>
    </w:p>
    <w:p>
      <w:pPr>
        <w:pStyle w:val="ItemLista"/>
        <w:tabs>
          <w:tab w:pos="709" w:val="left"/>
        </w:tabs>
      </w:pPr>
      <w:r>
        <w:t>e)</w:t>
        <w:tab/>
      </w:r>
      <w:r>
        <w:t xml:space="preserve">quantificar o </w:t>
      </w:r>
      <w:r>
        <w:rPr>
          <w:i/>
        </w:rPr>
        <w:t>domain gap</w:t>
      </w:r>
      <w:r>
        <w:t xml:space="preserve"> entre laboratório e campo, com intervalos de confiança e testes adequados a amostras pequenas;</w:t>
      </w:r>
    </w:p>
    <w:p>
      <w:pPr>
        <w:pStyle w:val="ItemLista"/>
        <w:tabs>
          <w:tab w:pos="709" w:val="left"/>
        </w:tabs>
      </w:pPr>
      <w:r>
        <w:t>f)</w:t>
        <w:tab/>
      </w:r>
      <w:r>
        <w:t>investigar se o desempenho em campo varia conforme a cultura, o tipo de manifestação do sintoma (cromática ou estrutural) e a distância de captura.</w:t>
      </w:r>
    </w:p>
    <w:p>
      <w:pPr>
        <w:pStyle w:val="Heading1"/>
      </w:pPr>
      <w:r>
        <w:t>2. Revisão da literatura</w:t>
      </w:r>
    </w:p>
    <w:p>
      <w:pPr>
        <w:pStyle w:val="Heading2"/>
      </w:pPr>
      <w:r>
        <w:t>2.1 Aprendizado profundo e transfer learning no diagnóstico foliar</w:t>
      </w:r>
    </w:p>
    <w:p>
      <w:pPr/>
      <w:r>
        <w:t>As CNNs extraem hierarquias de características visuais por camadas convolucionais e dominam a classificação de imagens (Russell; Norvig, 2022). A ResNet-50 (He et al., 2016) introduziu conexões residuais, com 25,6 milhões de parâmetros; a MobileNetV2 (Sandler et al., 2018) usa convoluções separáveis e blocos residuais invertidos, com 3,4 milhões, favorecendo dispositivos móveis; e a EfficientNet-B0 (Tan; Le, 2019) equilibra profundidade, largura e resolução por escalonamento composto, com 5,3 milhões. Os Vision Transformers (Dosovitskiy et al., 2021) substituem a convolução por autoatenção sobre blocos de 16×16 pixels; o ViT-B/16 tem 86,6 milhões de parâmetros e menos viés indutivo espacial que as CNNs. O transfer learning reutiliza pesos aprendidos no ImageNet como ponto de partida para a tarefa-alvo (Faceli et al., 2023), com eficácia demonstrada no diagnóstico foliar (Mohanty; Hughes; Salathé, 2016; Too et al., 2019). Barbedo (2018), contudo, mostra que ampliar o volume de dados tem retorno decrescente se a diversidade das condições de captura não aumenta.</w:t>
      </w:r>
    </w:p>
    <w:p>
      <w:pPr>
        <w:pStyle w:val="Heading2"/>
      </w:pPr>
      <w:r>
        <w:t>2.2 Validade experimental: vazamento de dados e domain gap</w:t>
      </w:r>
    </w:p>
    <w:p>
      <w:pPr/>
      <w: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Datasets públicos de doenças de plantas frequentemente redistribuem o PlantVillage entre si, o que agrava o risco. Geirhos et al. (2020) enquadram o fenômeno no conceito mais amplo de </w:t>
      </w:r>
      <w:r>
        <w:rPr>
          <w:i/>
        </w:rPr>
        <w:t>shortcut learning</w:t>
      </w:r>
      <w:r>
        <w:t>: redes profundas exploram qualquer regularidade que reduza a perda, e um teste que compartilhe essa regularidade não a detecta.</w:t>
      </w:r>
    </w:p>
    <w:p>
      <w:pPr/>
      <w:r>
        <w:t xml:space="preserve">O </w:t>
      </w:r>
      <w:r>
        <w:rPr>
          <w:i/>
        </w:rPr>
        <w:t>domain gap</w:t>
      </w:r>
      <w: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espécies-proxy para espécies-alvo, pois o PlantVillage não contém as hortaliças-alvo.</w:t>
      </w:r>
    </w:p>
    <w:p>
      <w:pPr>
        <w:pStyle w:val="Heading2"/>
      </w:pPr>
      <w:r>
        <w:t>2.3 Calibração de confiança e classificação seletiva</w:t>
      </w:r>
    </w:p>
    <w:p>
      <w:pPr/>
      <w:r>
        <w:t xml:space="preserve">Guo et al. (2017) demonstraram que as probabilidades produzidas por redes profundas modernas são sistematicamente mal calibradas e propuseram o </w:t>
      </w:r>
      <w:r>
        <w:rPr>
          <w:i/>
        </w:rPr>
        <w:t>temperature scaling</w:t>
      </w:r>
      <w:r>
        <w:t>, que divide os logits por um escalar T aprendido na validação sem alterar a classe predita.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Excess Green (ExG = 2g − r − b), proposto por Woebbecke et al. (1995), permite rejeitar imagens sem vegetação antes da inferência.</w:t>
      </w:r>
    </w:p>
    <w:p>
      <w:pPr>
        <w:pStyle w:val="Heading1"/>
      </w:pPr>
      <w:r>
        <w:t>3. Procedimentos metodológicos</w:t>
      </w:r>
    </w:p>
    <w:p>
      <w:pPr>
        <w:pStyle w:val="Heading2"/>
      </w:pPr>
      <w:r>
        <w:t>3.1 Caracterização da pesquisa</w:t>
      </w:r>
    </w:p>
    <w:p>
      <w:pPr/>
      <w:r>
        <w:t>Quanto à abordagem, a pesquisa é quantitativa, pois os resultados são expressos por métricas numéricas e submetidos a análise estatística; quanto aos objetivos, é exploratória e descritiva; quanto aos procedimentos técnicos, é experimental, uma vez que as variáveis de interesse — arquitetura, calibração, limiar de abstenção e domínio de avaliação — são manipuladas sob condições controladas e reprodutíveis (Gil, 2010). Todo o pipeline é executado por script, com semente fixa (42) e registro dos parâmetros e métricas de cada execução.</w:t>
      </w:r>
    </w:p>
    <w:p>
      <w:pPr>
        <w:pStyle w:val="Heading2"/>
      </w:pPr>
      <w:r>
        <w:t>3.2 Dados de treinamento e teste</w:t>
      </w:r>
    </w:p>
    <w:p>
      <w:pPr/>
      <w:r>
        <w:t>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A versão atual contém 170.772 imagens — 120.861 de treino, 25.944 de validação e 23.967 de teste — com vazamento residual de 0,04% no teste, métrica usada como critério de aceitação do particionamento. As três partições provêm das mesmas seis fontes, em proporções quase idênticas; o teste mede, portanto, desempenho intra-fonte.</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w:t>
      </w:r>
    </w:p>
    <w:p>
      <w:pPr>
        <w:pStyle w:val="Heading2"/>
      </w:pPr>
      <w:r>
        <w:t>3.3 Modelos e treinamento</w:t>
      </w:r>
    </w:p>
    <w:p>
      <w:pPr/>
      <w:r>
        <w:t xml:space="preserve">As três CNNs são inicializadas com pesos do ImageNet e ajustadas integralmente por até 30 épocas (otimizador AdamW, taxa de aprendizado de 10⁻³, escalonador de cosseno, parada antecipada com paciência 10, entropia cruzada com </w:t>
      </w:r>
      <w:r>
        <w:rPr>
          <w:i/>
        </w:rPr>
        <w:t xml:space="preserve">label smoothing</w:t>
      </w:r>
      <w:r>
        <w:t xml:space="preserve"> de 0,1 e amostragem ponderada pelo inverso da frequência de classe), com imagens de 224×224 pixels. O ViT-B/16 segue o mesmo protocolo de dados, perda, seleção de modelo e calibração; mudam apenas os hiperparâmetros de otimização, ajustados ao que é usual no ajuste fino de transformers: taxa de aprendizado de 5×10⁻⁵, decaimento de pesos de 0,05, duas épocas de aquecimento e limitação da norma do gradiente. Compara-se, portanto, cada arquitetura com uma receita adequada a ela, e não com hiperparâmetros idênticos. O ViT-B/16 foi treinado em GPU L4, no Google Colab; as CNNs, em GPU RTX 3050. Após o treino, cada modelo é calibrado por </w:t>
      </w:r>
      <w:r>
        <w:rPr>
          <w:i/>
        </w:rPr>
        <w:t xml:space="preserve">temperature scaling</w:t>
      </w:r>
      <w: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pPr>
        <w:pStyle w:val="Heading2"/>
      </w:pPr>
      <w:r>
        <w:t>3.4 Coleta dos dados de campo</w:t>
      </w:r>
    </w:p>
    <w:p>
      <w:pPr/>
      <w:r>
        <w:t>Os dados de campo serão coletados em hortas da região de Joinville (SC), com telefone celular, sob luz natural e sem preparação da cena. A meta é de 100 a 300 fotografias no total, com mínimo de 15 e meta de 25 fotografias por cultura incluída — priorizando cobrir bem ao menos duas culturas além da alface, em vez de cobrir superficialmente as cinco.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pPr/>
      <w:r>
        <w:t>Quatro regras garantem a validade do conjunto: (i) o rótulo de cada fotografia é registrado no momento da coleta, antes de qualquer inferência, e fotografias ambíguas são excluídas com o motivo anotado; (ii) as fotografias de campo nunca são usadas para treinamento; (iii) comparações entre versões do modelo usam exatamente o mesmo conjunto de fotografias; e (iv) as 13 fotografias já utilizadas, por terem orientado decisões de desenvolvimento no TCC-I, são tratadas como conjunto histórico e reportadas separadamente da estimativa final.</w:t>
      </w:r>
    </w:p>
    <w:p>
      <w:pPr>
        <w:pStyle w:val="Heading2"/>
      </w:pPr>
      <w:r>
        <w:t>3.5 Como os dados serão analisados</w:t>
      </w:r>
    </w:p>
    <w:p>
      <w:pPr/>
      <w:r>
        <w:t>A análise é organizada em quatro blocos, que respondem às perguntas operacionais Q1 a Q3. O Quadro 1 relaciona cada objetivo específico aos dados e às técnicas de análise. Adota-se nível de significância α = 0,05 e, sempre que houver múltiplas comparações sobre os mesmos dados, a correção sequencial de Holm (1979). As análises são implementadas em Python.</w:t>
      </w:r>
    </w:p>
    <w:p>
      <w:pPr>
        <w:pStyle w:val="Heading3"/>
      </w:pPr>
      <w:r>
        <w:t>3.5.1 Desempenho no domínio de teste (Q1)</w:t>
      </w:r>
    </w:p>
    <w:p>
      <w:pPr/>
      <w:r>
        <w:t xml:space="preserve">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separadamente, por constituírem o erro de maior custo agronômico. Os intervalos de confiança de 95% das métricas são estimados por bootstrap estratificado por classe, com 10.000 reamostragens (Efron; Tibshirani, 1993). Como todas as arquiteturas são avaliadas sobre as mesmas 23.967 imagens, a comparação entre pares de modelos usa o teste de McNemar (McNemar, 1947), recomendado por Dietterich (1998) para comparar classificadores sobre um mesmo conjunto de teste. O teste considera apenas os casos discordantes — </w:t>
      </w:r>
      <w:r>
        <w:rPr>
          <w:i/>
        </w:rPr>
        <w:t>b</w:t>
      </w:r>
      <w:r>
        <w:t xml:space="preserve">, imagens que só o modelo A acerta, e </w:t>
      </w:r>
      <w:r>
        <w:rPr>
          <w:i/>
        </w:rPr>
        <w:t>c</w:t>
      </w:r>
      <w:r>
        <w:t>, as que só o modelo B acerta:</w:t>
      </w:r>
    </w:p>
    <w:p>
      <w:pPr>
        <w:pStyle w:val="Equacao"/>
        <w:tabs>
          <w:tab w:pos="4252" w:val="center"/>
          <w:tab w:pos="8505" w:val="right"/>
        </w:tabs>
        <w:jc w:val="left"/>
      </w:pPr>
      <w:r>
        <w:tab/>
      </w:r>
      <w:r>
        <w:t>χ² = ( |</w:t>
      </w:r>
      <w:r>
        <w:rPr>
          <w:i/>
        </w:rPr>
        <w:t>b</w:t>
      </w:r>
      <w:r>
        <w:t xml:space="preserve"> − </w:t>
      </w:r>
      <w:r>
        <w:rPr>
          <w:i/>
        </w:rPr>
        <w:t>c</w:t>
      </w:r>
      <w:r>
        <w:t xml:space="preserve">| − 1 )² / ( </w:t>
      </w:r>
      <w:r>
        <w:rPr>
          <w:i/>
        </w:rPr>
        <w:t>b</w:t>
      </w:r>
      <w:r>
        <w:t xml:space="preserve"> + </w:t>
      </w:r>
      <w:r>
        <w:rPr>
          <w:i/>
        </w:rPr>
        <w:t>c</w:t>
      </w:r>
      <w:r>
        <w:t xml:space="preserve"> )</w:t>
      </w:r>
      <w:r>
        <w:tab/>
        <w:t>(2)</w:t>
      </w:r>
    </w:p>
    <w:p>
      <w:pPr/>
      <w:r>
        <w:t>Um classificador trivial que sempre responde “anômalo” (58,66% de acurácia global, 50% de acurácia balanceada) serve de piso de referência.</w:t>
      </w:r>
    </w:p>
    <w:p>
      <w:pPr>
        <w:pStyle w:val="Heading3"/>
      </w:pPr>
      <w:r>
        <w:t>3.5.2 Calibração e classificação seletiva (Q2)</w:t>
      </w:r>
    </w:p>
    <w:p>
      <w:pPr/>
      <w:r>
        <w:t xml:space="preserve">A calibração é avaliada pelo ECE com </w:t>
      </w:r>
      <w:r>
        <w:rPr>
          <w:i/>
        </w:rPr>
        <w:t>M</w:t>
      </w:r>
      <w:r>
        <w:t xml:space="preserve"> = 15 faixas de confiança de igual largura (Equação 3),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(3)</w:t>
      </w:r>
    </w:p>
    <w:p>
      <w:pPr/>
      <w:r>
        <w:t xml:space="preserve">O mecanismo de abstenção é avaliado por três medidas: a </w:t>
      </w:r>
      <w:r>
        <w:rPr>
          <w:b/>
        </w:rPr>
        <w:t>cobertura</w:t>
      </w:r>
      <w:r>
        <w:t xml:space="preserve"> (fração de imagens que recebem diagnóstico), a </w:t>
      </w:r>
      <w:r>
        <w:rPr>
          <w:b/>
        </w:rPr>
        <w:t>acurácia seletiva</w:t>
      </w:r>
      <w:r>
        <w:t xml:space="preserve"> (acurácia entre as imagens diagnosticadas) e a </w:t>
      </w:r>
      <w:r>
        <w:rPr>
          <w:b/>
        </w:rPr>
        <w:t>fração de erros interceptados</w:t>
      </w:r>
      <w:r>
        <w:t xml:space="preserve"> (erros com confiança inferior a τ). A curva risco–cobertura, obtida variando τ entre 0,50 e 0,99, permite discutir o ponto de operação escolhido. Compara-se ainda a confiança calibrada média de acertos e erros pelo teste de Mann-Whitney, para verificar se a confiança separa as duas situações.</w:t>
      </w:r>
    </w:p>
    <w:p>
      <w:pPr>
        <w:pStyle w:val="Heading3"/>
      </w:pPr>
      <w:r>
        <w:t>3.5.3 Desempenho em campo e domain gap (Q3)</w:t>
      </w:r>
    </w:p>
    <w:p>
      <w:pPr/>
      <w:r>
        <w:t>Em campo, cada fotografia tem três desfechos possíveis: acerto, erro ou abstenção. As abstenções não são contadas como erro nem como acerto; são reportadas como taxa própria, e as métricas de acerto são calculadas sobre os diagnósticos efetivamente emitidos, de forma uniforme em todas as versões do modelo. As imagens sem folha são analisadas à parte, pela taxa de rejeição correta da guarda de vegetação.</w:t>
      </w:r>
    </w:p>
    <w:p>
      <w:pPr/>
      <w:r>
        <w:t xml:space="preserve">Como as amostras de campo são pequenas, toda proporção é acompanhada do intervalo de confiança de Wilson a 95% (Wilson, 1927), que mantém boa cobertura mesmo com N reduzido, ao contrário da aproximação normal. Para a acurácia balanceada, que é média de duas proporções, o intervalo é estimado por bootstrap estratificado. O </w:t>
      </w:r>
      <w:r>
        <w:rPr>
          <w:i/>
        </w:rPr>
        <w:t>domain gap</w:t>
      </w:r>
      <w:r>
        <w:t xml:space="preserve"> é definido como a diferença entre a acurácia balanceada no teste e em campo; como a incerteza do teste (N = 23.967) é desprezível frente à de campo, seu intervalo é determinado essencialmente pelo intervalo de campo. A comparação entre versões do modelo sobre as mesmas fotografias utiliza o teste de McNemar em sua forma exata (binomial sobre os pares discordantes).</w:t>
      </w:r>
    </w:p>
    <w:p>
      <w:pPr/>
      <w:r>
        <w:t xml:space="preserve">O tamanho de amostra pretendido decorre da amplitude do intervalo de Wilson para uma proporção de 80%: mais de 40 pontos percentuais com as 13 fotografias atuais, 15,5 com 100 e 9,0 com 300, o que já permite detectar diferenças da magnitude do </w:t>
      </w:r>
      <w:r>
        <w:rPr>
          <w:i/>
        </w:rPr>
        <w:t xml:space="preserve">domain gap</w:t>
      </w:r>
      <w:r>
        <w:t xml:space="preserve"> esperado.</w:t>
      </w:r>
    </w:p>
    <w:p>
      <w:pPr>
        <w:pStyle w:val="Heading3"/>
      </w:pPr>
      <w:r>
        <w:t>3.5.4 Análises estratificadas e análise qualitativa dos erros</w:t>
      </w:r>
    </w:p>
    <w:p>
      <w:pPr/>
      <w:r>
        <w:t xml:space="preserve">Para responder à segunda parte de Q3, a acurácia de campo é desagregada por três fatores, cada um associado a uma hipótese exploratória. </w:t>
      </w:r>
      <w:r>
        <w:rPr>
          <w:b/>
        </w:rPr>
        <w:t>H1</w:t>
      </w:r>
      <w:r>
        <w:t xml:space="preserve">: o desempenho difere entre culturas, já que apenas a alface possui dados de treino específicos. </w:t>
      </w:r>
      <w:r>
        <w:rPr>
          <w:b/>
        </w:rPr>
        <w:t>H2</w:t>
      </w:r>
      <w:r>
        <w:t xml:space="preserve">: o modelo erra mais em sintomas estruturais (murcha, perfurações) do que em sintomas cromáticos (manchas, clorose, revestimentos), hipótese levantada pela inspeção dos erros de campo no TCC-I. </w:t>
      </w:r>
      <w:r>
        <w:rPr>
          <w:b/>
        </w:rPr>
        <w:t>H3</w:t>
      </w:r>
      <w:r>
        <w:t>: o desempenho diminui à medida que a distância de captura aumenta. H1 e H3 são testadas pelo teste exato de Fisher generalizado (Freeman-Halton) sobre tabelas de contingência fator × desfecho, e H3 também pelo teste de tendência de Cochran-Armitage, dado que as distâncias são ordenadas; H2 é testada pelo teste exato de Fisher em tabela 2×2 (Agresti, 2013). Como os subgrupos serão pequenos, reportam-se também os tamanhos de efeito — diferenças de proporções com intervalo de Newcombe (1998) —, e os resultados são interpretados como exploratórios, e não confirmatórios.</w:t>
      </w:r>
    </w:p>
    <w:p>
      <w:pPr/>
      <w:r>
        <w:t>Por fim, cada erro de campo é examinado qualitativamente com mapas Grad-CAM (Selvaraju et al., 2017), gerados sobre a última camada de características de cada arquitetura, e classificado quanto à causa provável: sintoma sutil, enquadramento amplo, fundo com vegetação, iluminação ou rótulo duvidoso.</w:t>
      </w:r>
    </w:p>
    <w:p>
      <w:pPr>
        <w:pStyle w:val="LegendaArtigo"/>
      </w:pPr>
      <w:r>
        <w:t>Quadro 1.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falsos negativos; IC por bootstrap; McNemar com correção de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e diagrama de fiabilidade; cobertura, acurácia seletiva, erros interceptados; curva risco–cobertura;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Estatística descritiva por cultura, classe, sintoma e distância; registro de exclusões</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IC de Wilson e bootstrap; McNemar exato entre versões</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Fisher / Freeman-Halton; Cochran-Armitage; IC de Newcombe; Grad-CAM dos erros</w:t>
            </w:r>
          </w:p>
        </w:tc>
      </w:tr>
    </w:tbl>
    <w:p>
      <w:pPr>
        <w:pStyle w:val="FonteTabela"/>
      </w:pPr>
      <w:r>
        <w:t>Fonte: elaboração própria (2026).</w:t>
      </w:r>
    </w:p>
    <w:p>
      <w:pPr>
        <w:pStyle w:val="Heading1"/>
      </w:pPr>
      <w:r>
        <w:t>4. Análise dos dados e discussão dos resultados</w:t>
      </w:r>
    </w:p>
    <w:p>
      <w:pPr/>
      <w:r>
        <w:t>Os resultados vão até o quarto ciclo de treinamento. Q1 e Q2 já têm resposta no domínio de teste para as quatro arquiteturas; as análises de campo (Q3) dependem da coleta descrita na Seção 3.4.</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5,3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3,4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25,6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86,6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FN = falsos negativos. Latência em GPU RTX 3050 (6 GB), medida na mesma sessão para os quatro modelos. Fonte: elaboração própria (2026).</w:t>
      </w:r>
    </w:p>
    <w:p>
      <w:pPr/>
      <w:r>
        <w:t>EfficientNet-B0 e ViT-B/16 empatam: têm a mesma acurácia balanceada e o mesmo intervalo de confiança de 95% (98,32% a 98,64%), e o teste de McNemar exato com correção de Holm não os distingue (p = 0,26). Ambos superam o MobileNetV2 (97,70% a 98,07%) e o ResNet-50 (97,63% a 98,00%), com p ≤ 1,4×10⁻¹², e estes dois não diferem entre si (p = 0,26), embora o segundo tenha 7,5 vezes mais parâmetros. O perfil de erro, porém, é distinto: o ViT-B/16 comete menos falsos negativos (137 contra 209) e mais falsos positivos (204 contra 154), com 16 vezes mais parâmetros que o EfficientNet-B0 e latência 2,7 vezes maior. Isso responde a Q1 neste teste; com um único treino por modelo e hiperparâmetros de otimização próprios do ViT-B/16, a conclusão não se estende às arquiteturas em geral.</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(média de 0,990 contra 0,874; Mann-Whitney, p &lt; 0,001), mas o limiar τ = 0,85 intercepta apenas 113 dos 363 erros (31,1%), com abstenção em 1,2% das imagens. No ViT-B/16 a interceptação é ainda menor: 51 dos 341 erros (15,0%), com abstenção em 0,5%. Nos dois modelos, mais de dois terços dos erros saem com confiança elevada; o ViT-B/16 tem o menor ECE da Tabela 1 e, ao mesmo tempo, a menor fração de erros interceptados, o que mostra que boa calibração média não garante que os erros se concentrem nas confianças baixas.</w:t>
      </w:r>
    </w:p>
    <w:p>
      <w:pPr/>
      <w:r>
        <w:t>A Tabela 1 deve ser lida com uma ressalva: o teste é extraído das mesmas seis fontes do treino, de modo que os 98,48% são uma acurácia intra-fonte. A medida disponível fora dessas fontes é o lote de espinafre-de-malabar, que o modelo do terceiro ciclo nunca viu: nele, a acurácia balanceada do EfficientNet-B0 foi de 75,4% (N = 484), 23 pontos abaixo, embora as imagens também sejam de folha isolada sobre fundo claro. Incorporado o lote ao treino, o mesmo teste subiu para 88,4% (IC 95%: 85,3% a 91,2%; McNemar exato, p de Holm = 5,9×10⁻¹²). O ViT-B/16 obteve 84,4% nesse lote (IC 95%: 80,9% a 87,7%), sem diferença significativa para o EfficientNet-B0 (p de Holm = 0,51) e com o pior ECE dos quatro modelos (0,11). No teste original, EfficientNet-B0 e ResNet-50 não mudaram entre os dois ciclos (p = 1,00), mas o MobileNetV2 caiu de 98,18% para 97,89% (p de Holm = 0,015). O ganho é significativo, mas intra-fonte: o modelo aprende a aparência das fontes de treino, e isso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4: EfficientNet-B0. * ViT-B/16, dados do ciclo 4. Fonte: elaboração própria (2026).</w:t>
      </w:r>
    </w:p>
    <w:p>
      <w:pPr/>
      <w:r>
        <w:t>A Tabela 2 mostra por que a análise estatística é central neste trabalho. Em pontos estimados, o desempenho de campo teria piorado nos três primeiros ciclos, mesmo com a correção de defeitos reais — entre eles, 3.972 imagens de alface saudável rotuladas como doentes. No entanto, os quatro intervalos de Wilson dos ciclos se sobrepõem entre 64,6% e 90,3%, e o do ViT-B/16, que acertou os 12 diagnósticos que emitiu e se absteve em uma fotografia, sobrepõe-se a todos eles: com N = 13, versões e arquiteturas são estatisticamente indistinguíveis. A amostra atual foi suficiente para revelar o defeito de rotulagem, invisível às métricas de laboratório, mas não tem poder para decidir entre modelos, o que justifica a coleta planejada.</w:t>
      </w:r>
    </w:p>
    <w:p>
      <w:pPr/>
      <w:r>
        <w:t>Os nove erros emitidos em campo nos quatro ciclos tiveram confiança calibrada entre 0,949 e 0,999, e no quarto ciclo não houve abstenção. O limiar τ é ajustado na validação, que compartilha a distribuição do treino; fora dela, o ECE passou de 0,003 para 0,146. A calibração precisa ser verificada no domínio de uso.</w:t>
      </w:r>
    </w:p>
    <w:p>
      <w:pPr>
        <w:pStyle w:val="Heading1"/>
      </w:pPr>
      <w:r>
        <w:t>5. Conclusão</w:t>
      </w:r>
    </w:p>
    <w:p>
      <w:pPr/>
      <w:r>
        <w:t>No domínio de teste, Q1 e Q2 têm resposta para as quatro arquiteturas: EfficientNet-B0 e ViT-B/16 empatam e superam as outras duas com significância estatística; suas probabilidades são bem calibradas, mas o limiar de abstenção deixa passar mais de dois terços dos erros. Trocar a CNN por um transformer com 16 vezes mais parâmetros não altera esse quadro, o que indica que o limite do sistema está nos dados, e não na arquitetura. A questão central — quanto um sistema de triagem fitossanitária treinado em imagens públicas vale em condições reais de campo — permanece aberta: o desempenho é de 98,48% nas fontes de treino, foi de 75,4% em uma fonte nunca vista e de 84,6% de acertos em 13 fotografias de campo, com intervalo de 57,8% a 95,7%.</w:t>
      </w:r>
    </w:p>
    <w:p>
      <w:pPr/>
      <w:r>
        <w:t>A próxima etapa é a coleta do conjunto de campo, com fotografias de fundo real, pré-requisito para as análises das Seções 3.5.3 e 3.5.4. Estão em avaliação a separação das fotografias por horta, em conjuntos de avaliação e de adaptação, e um teste direto da dependência do fundo.</w:t>
      </w:r>
    </w:p>
    <w:p>
      <w:pPr>
        <w:pStyle w:val="Heading1"/>
      </w:pPr>
      <w:r>
        <w:t>Referências</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TOO, E. C. et al. A comparative study of fine-tuning deep learning models for plant disease identification. </w:t>
      </w:r>
      <w:r>
        <w:rPr>
          <w:b/>
        </w:rPr>
        <w:t>Computers and Electronics in Agriculture</w:t>
      </w:r>
      <w:r>
        <w:t>, v. 161, p. 272-279, 2019. DOI: 10.1016/j.compag.2018.03.032.</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