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vieirasilvajosepedro@gmail.com / leandersonandre@univille.br</w:t>
      </w:r>
    </w:p>
    <w:p>
      <w:pPr>
        <w:pStyle w:val="Abstract"/>
      </w:pPr>
      <w:r>
        <w:rPr>
          <w:b/>
        </w:rPr>
        <w:t>Abstract.</w:t>
      </w:r>
      <w:r>
        <w:t xml:space="preserve"> This work investigates to what extent a phytosanitary screening system for leafy vegetables, based on transfer learning with EfficientNet-B0, MobileNetV2 and ResNet-50, trained on public images audited for data leakage and equipped with confidence calibration and abstention, remains reliable on photographs taken under real field conditions. The paper presents the research question, the objectives and the data analysis plan: imbalance-robust metrics, calibration and selective classification assessment, Wilson confidence intervals, McNemar's test and exact tests stratified by crop, symptom type and capture distance. Preliminary results show 98.49% balanced accuracy on the test set and 73.3% on 13 field photographs, a sample too small to distinguish model versions.</w:t>
      </w:r>
    </w:p>
    <w:p>
      <w:pPr>
        <w:pStyle w:val="Abstract"/>
      </w:pPr>
      <w:r>
        <w:rPr>
          <w:b/>
        </w:rPr>
        <w:t>Resumo.</w:t>
      </w:r>
      <w:r>
        <w:t xml:space="preserve"> Este trabalho investiga em que medida um sistema de triagem fitossanitária para hortaliças folhosas, baseado em transfer learning com EfficientNet-B0, MobileNetV2 e ResNet-50, treinado com imagens públicas auditadas contra vazamento de dados e dotado de calibração de confiança e abstenção, mantém desempenho confiável em fotografias capturadas em condições reais de campo. O artigo apresenta a questão de pesquisa, os objetivos e o plano de análise dos dados: métricas robustas ao desbalanceamento, avaliação de calibração e de classificação seletiva, intervalos de confiança de Wilson, teste de McNemar e testes exatos estratificados por cultura, tipo de sintoma e distância de captura. Resultados preliminares indicam 98,49% de acurácia balanceada no conjunto de teste e 73,3% em 13 fotografias de campo, amostra insuficiente para distinguir versões do modelo.</w:t>
      </w:r>
    </w:p>
    <w:p>
      <w:pPr>
        <w:pStyle w:val="Heading1"/>
      </w:pPr>
      <w:r>
        <w:t>1. Introdução</w:t>
      </w:r>
    </w:p>
    <w:p>
      <w:pPr/>
      <w:r>
        <w:t>Segundo o Censo Agropecuário de 2017, 77% dos estabelecimentos rurais brasileiros pertencem à agricultura familiar (IBGE, 2019), segmento no qual o diagnóstico fitossanitário ainda depende predominantemente de inspeção visual manual — processo lento, inconsistente e condicionado à experiência do produtor.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 aprendizado profundo tornou-se a abordagem dominante para o diagnóstico foliar automatizado desde que Mohanty, Hughes e Salathé (2016) reportaram acurácias superiores a 99% com redes neurais convolucionais (CNNs) treinadas no dataset PlantVillage. Esse desempenho, contudo, é obtido sobre imagens de estúdio — folha isolada, fundo homogêneo, iluminação controlada — e a literatura registra quedas acentuadas quando os mesmos modelos são aplicados a fotografias de lavoura, fenômeno denominado </w:t>
      </w:r>
      <w:r>
        <w:rPr>
          <w:i/>
        </w:rPr>
        <w:t>domain gap</w:t>
      </w:r>
      <w:r>
        <w:t xml:space="preserve"> (Barbedo, 2018; Ahmad; Gamal; Saraswat, 2023). Some-se a isso um problema menos discutido: a validade do próprio protocolo de avaliação. Na primeira fase deste trabalho (TCC-I), uma auditoria por hash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w:t>
      </w:r>
    </w:p>
    <w:p>
      <w:pPr/>
      <w:r>
        <w:t>Esses resultados deslocam o problema: a questão deixa de ser se uma CNN classifica folhas de estúdio e passa a ser quanto um sistema desse tipo vale em uso real. Como um sistema que erra com aparência de certeza transfere confiança indevida ao produtor, a calibração da confiança e a capacidade de abster-se fazem parte do objeto de estudo.</w:t>
      </w:r>
    </w:p>
    <w:p>
      <w:pPr>
        <w:pStyle w:val="Heading2"/>
      </w:pPr>
      <w:r>
        <w:t>1.1 Questão de pesquisa</w:t>
      </w:r>
    </w:p>
    <w:p>
      <w:pPr/>
      <w:r>
        <w:t xml:space="preserve">Diante do exposto, este trabalho busca responder à seguinte questão de pesquisa: </w:t>
      </w:r>
      <w:r>
        <w:rPr>
          <w:b/>
        </w:rPr>
        <w:t>em que medida um sistema de triagem fitossanitária para hortaliças folhosas, baseado em redes neurais convolucionais com transfer learning, treinado com imagens públicas auditadas contra vazamento de dados e dotado de calibração de confiança e mecanismo de abstenção, mantém desempenho confiável quando aplicado a fotografias capturadas em condições reais de campo?</w:t>
      </w:r>
    </w:p>
    <w:p>
      <w:pPr/>
      <w:r>
        <w:t xml:space="preserve">A questão desdobra-se em três perguntas operacionais, que orientam a análise dos dados descrita na Seção 3.5: (Q1) qual arquitetura apresenta o melhor desempenho no domínio de teste, com significância estatística; (Q2) em que medida as probabilidades calibradas e o limiar de abstenção interceptam os erros do modelo; e (Q3) qual é a magnitude do </w:t>
      </w:r>
      <w:r>
        <w:rPr>
          <w:i/>
        </w:rPr>
        <w:t>domain gap</w:t>
      </w:r>
      <w:r>
        <w:t xml:space="preserve"> entre laboratório e campo e se ele varia conforme a cultura, o tipo de manifestação do sintoma e a distância de captura.</w:t>
      </w:r>
    </w:p>
    <w:p>
      <w:pPr>
        <w:pStyle w:val="Heading2"/>
      </w:pPr>
      <w:r>
        <w:t>1.2 Objetivos</w:t>
      </w:r>
    </w:p>
    <w:p>
      <w:pPr/>
      <w:r>
        <w:t xml:space="preserve">O </w:t>
      </w:r>
      <w:r>
        <w:rPr>
          <w:b/>
        </w:rPr>
        <w:t>objetivo geral</w:t>
      </w:r>
      <w:r>
        <w:t xml:space="preserve"> deste trabalho é avaliar o desempenho e a confiabilidade de um sistema de detecção automática de anomalias fitossanitárias em hortaliças folhosas, baseado em transfer learning com as arquiteturas EfficientNet-B0, MobileNetV2 e ResNet-50, quantificando com rigor estatístico a diferença entre o desempenho obtido em laboratório e em condições reais de campo.</w:t>
      </w:r>
    </w:p>
    <w:p>
      <w:pPr/>
      <w:r>
        <w:t xml:space="preserve">Para atingi-lo, definem-se os seguintes </w:t>
      </w:r>
      <w:r>
        <w:rPr>
          <w:b/>
        </w:rPr>
        <w:t>objetivos específicos</w:t>
      </w:r>
      <w:r>
        <w:t>:</w:t>
      </w:r>
    </w:p>
    <w:p>
      <w:pPr>
        <w:pStyle w:val="ItemLista"/>
        <w:tabs>
          <w:tab w:pos="709" w:val="left"/>
        </w:tabs>
      </w:pPr>
      <w:r>
        <w:t>a)</w:t>
        <w:tab/>
      </w:r>
      <w:r>
        <w:t>consolidar o conjunto de dados de treinamento a partir de fontes públicas, com deduplicação por hash perceptual e particionamento agrupado, reportando o vazamento residual entre partições;</w:t>
      </w:r>
    </w:p>
    <w:p>
      <w:pPr>
        <w:pStyle w:val="ItemLista"/>
        <w:tabs>
          <w:tab w:pos="709" w:val="left"/>
        </w:tabs>
      </w:pPr>
      <w:r>
        <w:t>b)</w:t>
        <w:tab/>
      </w:r>
      <w:r>
        <w:t>comparar o desempenho das três arquiteturas no conjunto de teste, com métricas robustas ao desbalanceamento de classes e teste estatístico pareado;</w:t>
      </w:r>
    </w:p>
    <w:p>
      <w:pPr>
        <w:pStyle w:val="ItemLista"/>
        <w:tabs>
          <w:tab w:pos="709" w:val="left"/>
        </w:tabs>
      </w:pPr>
      <w:r>
        <w:t>c)</w:t>
        <w:tab/>
      </w:r>
      <w:r>
        <w:t>avaliar a calibração das probabilidades de saída e a eficácia do mecanismo de abstenção em interceptar erros de classificação;</w:t>
      </w:r>
    </w:p>
    <w:p>
      <w:pPr>
        <w:pStyle w:val="ItemLista"/>
        <w:tabs>
          <w:tab w:pos="709" w:val="left"/>
        </w:tabs>
      </w:pPr>
      <w:r>
        <w:t>d)</w:t>
        <w:tab/>
      </w:r>
      <w:r>
        <w:t>construir um conjunto de validação de campo com gabarito, abrangendo mais de uma cultura, diferentes tipos de sintoma e diferentes distâncias de captura;</w:t>
      </w:r>
    </w:p>
    <w:p>
      <w:pPr>
        <w:pStyle w:val="ItemLista"/>
        <w:tabs>
          <w:tab w:pos="709" w:val="left"/>
        </w:tabs>
      </w:pPr>
      <w:r>
        <w:t>e)</w:t>
        <w:tab/>
      </w:r>
      <w:r>
        <w:t xml:space="preserve">quantificar o </w:t>
      </w:r>
      <w:r>
        <w:rPr>
          <w:i/>
        </w:rPr>
        <w:t>domain gap</w:t>
      </w:r>
      <w:r>
        <w:t xml:space="preserve"> entre laboratório e campo, com intervalos de confiança e testes adequados a amostras pequenas;</w:t>
      </w:r>
    </w:p>
    <w:p>
      <w:pPr>
        <w:pStyle w:val="ItemLista"/>
        <w:tabs>
          <w:tab w:pos="709" w:val="left"/>
        </w:tabs>
      </w:pPr>
      <w:r>
        <w:t>f)</w:t>
        <w:tab/>
      </w:r>
      <w:r>
        <w:t>investigar se o desempenho em campo varia conforme a cultura, o tipo de manifestação do sintoma (cromática ou estrutural) e a distância de captura.</w:t>
      </w:r>
    </w:p>
    <w:p>
      <w:pPr>
        <w:pStyle w:val="Heading1"/>
      </w:pPr>
      <w:r>
        <w:t>2. Revisão da literatura</w:t>
      </w:r>
    </w:p>
    <w:p>
      <w:pPr>
        <w:pStyle w:val="Heading2"/>
      </w:pPr>
      <w:r>
        <w:t>2.1 Aprendizado profundo e transfer learning no diagnóstico foliar</w:t>
      </w:r>
    </w:p>
    <w:p>
      <w:pPr/>
      <w:r>
        <w:t>As CNNs extraem hierarquias de características visuais por camadas convolucionais e dominam a classificação de imagens (Russell; Norvig, 2022). A ResNet-50 (He et al., 2016) introduziu conexões residuais, com 25,6 milhões de parâmetros; a MobileNetV2 (Sandler et al., 2018) usa convoluções separáveis e blocos residuais invertidos, com 3,4 milhões, favorecendo dispositivos móveis; e a EfficientNet-B0 (Tan; Le, 2019) equilibra profundidade, largura e resolução por escalonamento composto, com 5,3 milhões. O transfer learning reutiliza pesos aprendidos no ImageNet como ponto de partida para a tarefa-alvo (Faceli et al., 2023), com eficácia demonstrada no diagnóstico foliar (Mohanty; Hughes; Salathé, 2016; Too et al., 2019). Barbedo (2018), contudo, mostra que ampliar o volume de dados tem retorno decrescente quando a diversidade das condições de captura não aumenta junto.</w:t>
      </w:r>
    </w:p>
    <w:p>
      <w:pPr>
        <w:pStyle w:val="Heading2"/>
      </w:pPr>
      <w:r>
        <w:t>2.2 Validade experimental: vazamento de dados e domain gap</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Datasets públicos de doenças de plantas frequentemente redistribuem o PlantVillage entre si, o que agrava o risco. Geirhos et al. (2020) enquadram o fenômeno no conceito mais amplo de </w:t>
      </w:r>
      <w:r>
        <w:rPr>
          <w:i/>
        </w:rPr>
        <w:t>shortcut learning</w:t>
      </w:r>
      <w:r>
        <w:t>: redes profundas exploram qualquer regularidade que reduza a perda, e um teste que compartilhe essa regularidade não a detecta.</w:t>
      </w:r>
    </w:p>
    <w:p>
      <w:pPr/>
      <w:r>
        <w:t xml:space="preserve">O </w:t>
      </w:r>
      <w:r>
        <w:rPr>
          <w:i/>
        </w:rPr>
        <w:t>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espécies-proxy para espécies-alvo, pois o PlantVillage não contém nenhuma das cinco hortaliças do escopo.</w:t>
      </w:r>
    </w:p>
    <w:p>
      <w:pPr>
        <w:pStyle w:val="Heading2"/>
      </w:pPr>
      <w:r>
        <w:t>2.3 Calibração de confiança e classificação seletiva</w:t>
      </w:r>
    </w:p>
    <w:p>
      <w:pPr/>
      <w:r>
        <w:t xml:space="preserve">Guo et al. (2017) demonstraram que as probabilidades produzidas por redes profundas modernas são sistematicamente mal calibradas e propuseram o </w:t>
      </w:r>
      <w:r>
        <w:rPr>
          <w:i/>
        </w:rPr>
        <w:t>temperature scaling</w:t>
      </w:r>
      <w:r>
        <w:t>, que divide os logits por um escalar T aprendido na validação sem alterar a classe predita.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Excess Green (ExG = 2g − r − b), proposto por Woebbecke et al. (1995), permite rejeitar imagens sem vegetação antes da inferência.</w:t>
      </w:r>
    </w:p>
    <w:p>
      <w:pPr>
        <w:pStyle w:val="Heading1"/>
      </w:pPr>
      <w:r>
        <w:t>3. Procedimentos metodológicos</w:t>
      </w:r>
    </w:p>
    <w:p>
      <w:pPr>
        <w:pStyle w:val="Heading2"/>
      </w:pPr>
      <w:r>
        <w:t>3.1 Caracterização da pesquisa</w:t>
      </w:r>
    </w:p>
    <w:p>
      <w:pPr/>
      <w:r>
        <w:t>Quanto à abordagem, a pesquisa é quantitativa, pois os resultados são expressos por métricas numéricas e submetidos a análise estatística; quanto aos objetivos, é exploratória e descritiva; quanto aos procedimentos técnicos, é experimental, uma vez que as variáveis de interesse — arquitetura, calibração, limiar de abstenção e domínio de avaliação — são manipuladas sob condições controladas e reprodutíveis (Gil, 2010). Todo o pipeline é executado por script, com semente fixa (42) e registro dos parâmetros e métricas de cada execução em arquivos estruturados.</w:t>
      </w:r>
    </w:p>
    <w:p>
      <w:pPr>
        <w:pStyle w:val="Heading2"/>
      </w:pPr>
      <w:r>
        <w:t>3.2 Dados de treinamento e teste</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métrica usada como critério de aceitação do particionamento.</w:t>
      </w:r>
    </w:p>
    <w:p>
      <w:pPr/>
      <w:r>
        <w:t>Dois lotes adicionais, preparados com o mesmo protocolo, aguardam decisão de incorporação: 3.209 imagens de espinafre-de-malabar (</w:t>
      </w:r>
      <w:r>
        <w:rPr>
          <w:i/>
        </w:rPr>
        <w:t>Basella alba</w:t>
      </w:r>
      <w:r>
        <w:t xml:space="preserve">, e não </w:t>
      </w:r>
      <w:r>
        <w:rPr>
          <w:i/>
        </w:rPr>
        <w:t>Spinacia oleracea</w:t>
      </w:r>
      <w:r>
        <w:t>, ressalva que será declarada) e 1.142 imagens de alface com míldio.</w:t>
      </w:r>
    </w:p>
    <w:p>
      <w:pPr>
        <w:pStyle w:val="Heading2"/>
      </w:pPr>
      <w:r>
        <w:t>3.3 Modelos e treinamento</w:t>
      </w:r>
    </w:p>
    <w:p>
      <w:pPr/>
      <w:r>
        <w:t xml:space="preserve">As três arquiteturas são inicializadas com pesos do ImageNet e ajustadas integralmente por até 30 épocas (otimizador AdamW, escalonador de cosseno, parada antecipada com paciência 10, entropia cruzada com </w:t>
      </w:r>
      <w:r>
        <w:rPr>
          <w:i/>
        </w:rPr>
        <w:t>label smoothing</w:t>
      </w:r>
      <w:r>
        <w:t xml:space="preserve"> de 0,1 e amostragem ponderada pelo inverso da frequência de classe), com imagens de 224×224 pixels. Após o treino, cada modelo é calibrado por </w:t>
      </w:r>
      <w:r>
        <w:rPr>
          <w:i/>
        </w:rPr>
        <w:t>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3.4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 priorizando cobrir bem ao menos duas culturas além da alface, em vez de cobrir superficialmente as cinco.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Quatro regras garantem a validade do conjunto: (i) o rótulo de cada fotografia é registrado no momento da coleta, antes de qualquer inferência, e fotografias ambíguas são excluídas com o motivo anotado; (ii) as fotografias de campo nunca são usadas para treinamento; (iii) comparações entre versões do modelo usam exatamente o mesmo conjunto de fotografias; e (iv) as 13 fotografias já utilizadas, por terem orientado decisões de desenvolvimento no TCC-I, são tratadas como conjunto histórico e reportadas separadamente da estimativa final.</w:t>
      </w:r>
    </w:p>
    <w:p>
      <w:pPr>
        <w:pStyle w:val="Heading2"/>
      </w:pPr>
      <w:r>
        <w:t>3.5 Como os dados serão analisados</w:t>
      </w:r>
    </w:p>
    <w:p>
      <w:pPr/>
      <w:r>
        <w:t>A análise é organizada em quatro blocos, que respondem às perguntas operacionais Q1 a Q3. O Quadro 1, ao final desta seção, relaciona cada objetivo específico aos dados e às técnicas de análise correspondentes. Adota-se nível de significância α = 0,05 e, sempre que houver múltiplas comparações sobre os mesmos dados, a correção sequencial de Holm (1979). Todas as análises serão implementadas em Python, com scikit-learn, NumPy e SciPy.</w:t>
      </w:r>
    </w:p>
    <w:p>
      <w:pPr>
        <w:pStyle w:val="Heading3"/>
      </w:pPr>
      <w:r>
        <w:t>3.5.1 Desempenho no domínio de teste (Q1)</w:t>
      </w:r>
    </w:p>
    <w:p>
      <w:pPr/>
      <w:r>
        <w:t xml:space="preserve">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das métricas são estimados por bootstrap estratificado por classe, com 10.000 reamostragens (Efron; Tibshirani, 1993). Como as três arquiteturas são avaliadas sobre as mesmas 23.967 imagens, a comparação entre pares de modelos usa o teste de McNemar (McNemar, 1947), recomendado por Dietterich (1998) para comparar classificadores sobre um mesmo conjunto de teste. O teste considera apenas os casos discordantes — </w:t>
      </w:r>
      <w:r>
        <w:rPr>
          <w:i/>
        </w:rPr>
        <w:t>b</w:t>
      </w:r>
      <w:r>
        <w:t xml:space="preserve">, imagens que só o modelo A acerta, e </w:t>
      </w:r>
      <w:r>
        <w:rPr>
          <w:i/>
        </w:rPr>
        <w:t>c</w:t>
      </w:r>
      <w:r>
        <w:t>, as que só o modelo B acerta:</w:t>
      </w:r>
    </w:p>
    <w:p>
      <w:pPr>
        <w:pStyle w:val="Equacao"/>
        <w:tabs>
          <w:tab w:pos="4252" w:val="center"/>
          <w:tab w:pos="8505" w:val="right"/>
        </w:tabs>
        <w:jc w:val="left"/>
      </w:pPr>
      <w:r>
        <w:tab/>
      </w:r>
      <w:r>
        <w:t>χ² = ( |</w:t>
      </w:r>
      <w:r>
        <w:rPr>
          <w:i/>
        </w:rPr>
        <w:t>b</w:t>
      </w:r>
      <w:r>
        <w:t xml:space="preserve"> − </w:t>
      </w:r>
      <w:r>
        <w:rPr>
          <w:i/>
        </w:rPr>
        <w:t>c</w:t>
      </w:r>
      <w:r>
        <w:t xml:space="preserve">| − 1 )² / ( </w:t>
      </w:r>
      <w:r>
        <w:rPr>
          <w:i/>
        </w:rPr>
        <w:t>b</w:t>
      </w:r>
      <w:r>
        <w:t xml:space="preserve"> + </w:t>
      </w:r>
      <w:r>
        <w:rPr>
          <w:i/>
        </w:rPr>
        <w:t>c</w:t>
      </w:r>
      <w:r>
        <w:t xml:space="preserve"> )</w:t>
      </w:r>
      <w:r>
        <w:tab/>
        <w:t>(2)</w:t>
      </w:r>
    </w:p>
    <w:p>
      <w:pPr/>
      <w:r>
        <w:t>Um classificador trivial que sempre responde “anômalo” (58,66% de acurácia global, 50% de acurácia balanceada) serve de piso de referência.</w:t>
      </w:r>
    </w:p>
    <w:p>
      <w:pPr>
        <w:pStyle w:val="Heading3"/>
      </w:pPr>
      <w:r>
        <w:t>3.5.2 Calibração e classificação seletiva (Q2)</w:t>
      </w:r>
    </w:p>
    <w:p>
      <w:pPr/>
      <w:r>
        <w:t xml:space="preserve">A calibração é avaliada pelo ECE com </w:t>
      </w:r>
      <w:r>
        <w:rPr>
          <w:i/>
        </w:rPr>
        <w:t>M</w:t>
      </w:r>
      <w:r>
        <w:t xml:space="preserve"> = 15 faixas de confiança de igual largura (Equação 3),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(3)</w:t>
      </w:r>
    </w:p>
    <w:p>
      <w:pPr/>
      <w:r>
        <w:t xml:space="preserve">O mecanismo de abstenção é avaliado por três medidas: a </w:t>
      </w:r>
      <w:r>
        <w:rPr>
          <w:b/>
        </w:rPr>
        <w:t>cobertura</w:t>
      </w:r>
      <w:r>
        <w:t xml:space="preserve"> (fração de imagens que recebem diagnóstico), a </w:t>
      </w:r>
      <w:r>
        <w:rPr>
          <w:b/>
        </w:rPr>
        <w:t>acurácia seletiva</w:t>
      </w:r>
      <w:r>
        <w:t xml:space="preserve"> (acurácia entre as imagens diagnosticadas) e a </w:t>
      </w:r>
      <w:r>
        <w:rPr>
          <w:b/>
        </w:rPr>
        <w:t>fração de erros interceptados</w:t>
      </w:r>
      <w:r>
        <w:t xml:space="preserve"> (erros com confiança inferior a τ). A curva risco–cobertura, obtida variando τ entre 0,50 e 0,99, permite discutir o ponto de operação escolhido. Compara-se ainda a confiança calibrada média de acertos e erros pelo teste de Mann-Whitney, para verificar se a confiança de fato separa as duas situações.</w:t>
      </w:r>
    </w:p>
    <w:p>
      <w:pPr>
        <w:pStyle w:val="Heading3"/>
      </w:pPr>
      <w:r>
        <w:t>3.5.3 Desempenho em campo e domain gap (Q3)</w:t>
      </w:r>
    </w:p>
    <w:p>
      <w:pPr/>
      <w:r>
        <w:t>Em campo, cada fotografia tem três desfechos possíveis: acerto, erro ou abstenção. As abstenções não são contadas como erro nem como acerto; são reportadas como taxa própria, e as métricas de acerto são calculadas sobre os diagnósticos efetivamente emitidos, de forma uniforme em todas as versões do modelo. As imagens sem folha são analisadas à parte, pela taxa de rejeição correta da guarda de vegetação.</w:t>
      </w:r>
    </w:p>
    <w:p>
      <w:pPr/>
      <w:r>
        <w:t xml:space="preserve">Como as amostras de campo são pequenas, toda proporção é acompanhada do intervalo de confiança de Wilson a 95% (Wilson, 1927), que mantém boa cobertura mesmo com N reduzido, ao contrário da aproximação normal. Para a acurácia balanceada, que é média de duas proporções, o intervalo é estimado por bootstrap estratificado. O </w:t>
      </w:r>
      <w:r>
        <w:rPr>
          <w:i/>
        </w:rPr>
        <w:t>domain gap</w:t>
      </w:r>
      <w:r>
        <w:t xml:space="preserve"> é definido como a diferença entre a acurácia balanceada no teste e em campo; como a incerteza do teste (N = 23.967) é desprezível frente à de campo, seu intervalo é determinado essencialmente pelo intervalo de campo. A comparação entre versões do modelo sobre as mesmas fotografias utiliza o teste de McNemar em sua forma exata (binomial sobre os pares discordantes), adequada a poucos casos discordantes.</w:t>
      </w:r>
    </w:p>
    <w:p>
      <w:pPr/>
      <w:r>
        <w:t xml:space="preserve">A Tabela 1 justifica o tamanho de amostra pretendido: mostra a amplitude do intervalo de Wilson para uma proporção observada de 80% em função de N. Com as 13 fotografias atuais, a amplitude supera 40 pontos percentuais; com 100 fotografias, cai para cerca de 15, o que já permite detectar diferenças de magnitude compatível com o </w:t>
      </w:r>
      <w:r>
        <w:rPr>
          <w:i/>
        </w:rPr>
        <w:t>domain gap</w:t>
      </w:r>
      <w:r>
        <w:t xml:space="preserve"> esperado.</w:t>
      </w:r>
    </w:p>
    <w:p>
      <w:pPr>
        <w:pStyle w:val="LegendaArtigo"/>
      </w:pPr>
      <w:r>
        <w:t>Tabela 1. Amplitude do intervalo de confiança de Wilson (95%) para proporção observada de 80%</w:t>
      </w:r>
    </w:p>
    <w:tbl>
      <w:tblPr>
        <w:tblStyle w:val="TableGrid"/>
        <w:tblW w:type="auto" w:w="0"/>
        <w:jc w:val="center"/>
        <w:tblLayout w:type="fixed"/>
        <w:tblLook w:firstColumn="1" w:firstRow="1" w:lastColumn="0" w:lastRow="0" w:noHBand="0" w:noVBand="1" w:val="04A0"/>
        <w:tblLayout w:type="fixed"/>
      </w:tblPr>
      <w:tblGrid>
        <w:gridCol w:w="1701"/>
        <w:gridCol w:w="1134"/>
        <w:gridCol w:w="1134"/>
        <w:gridCol w:w="1134"/>
        <w:gridCol w:w="1134"/>
        <w:gridCol w:w="1134"/>
        <w:gridCol w:w="1134"/>
      </w:tblGrid>
      <w:tr>
        <w:trPr>
          <w:cantSplit/>
        </w:trPr>
        <w:tc>
          <w:tcPr>
            <w:tcW w:type="dxa" w:w="1701"/>
            <w:shd w:val="clear" w:color="auto" w:fill="E7E6E6"/>
          </w:tcPr>
          <w:p>
            <w:pPr>
              <w:pStyle w:val="CelulaTabela"/>
              <w:keepNext/>
              <w:jc w:val="left"/>
            </w:pPr>
            <w:r>
              <w:rPr>
                <w:b/>
              </w:rPr>
              <w:t>N (fotografias)</w:t>
            </w:r>
          </w:p>
        </w:tc>
        <w:tc>
          <w:tcPr>
            <w:tcW w:type="dxa" w:w="1134"/>
            <w:shd w:val="clear" w:color="auto" w:fill="E7E6E6"/>
          </w:tcPr>
          <w:p>
            <w:pPr>
              <w:pStyle w:val="CelulaTabela"/>
              <w:keepNext/>
            </w:pPr>
            <w:r>
              <w:rPr>
                <w:b/>
              </w:rPr>
              <w:t>13¹</w:t>
            </w:r>
          </w:p>
        </w:tc>
        <w:tc>
          <w:tcPr>
            <w:tcW w:type="dxa" w:w="1134"/>
            <w:shd w:val="clear" w:color="auto" w:fill="E7E6E6"/>
          </w:tcPr>
          <w:p>
            <w:pPr>
              <w:pStyle w:val="CelulaTabela"/>
              <w:keepNext/>
            </w:pPr>
            <w:r>
              <w:rPr>
                <w:b/>
              </w:rPr>
              <w:t>25</w:t>
            </w:r>
          </w:p>
        </w:tc>
        <w:tc>
          <w:tcPr>
            <w:tcW w:type="dxa" w:w="1134"/>
            <w:shd w:val="clear" w:color="auto" w:fill="E7E6E6"/>
          </w:tcPr>
          <w:p>
            <w:pPr>
              <w:pStyle w:val="CelulaTabela"/>
              <w:keepNext/>
            </w:pPr>
            <w:r>
              <w:rPr>
                <w:b/>
              </w:rPr>
              <w:t>50</w:t>
            </w:r>
          </w:p>
        </w:tc>
        <w:tc>
          <w:tcPr>
            <w:tcW w:type="dxa" w:w="1134"/>
            <w:shd w:val="clear" w:color="auto" w:fill="E7E6E6"/>
          </w:tcPr>
          <w:p>
            <w:pPr>
              <w:pStyle w:val="CelulaTabela"/>
              <w:keepNext/>
            </w:pPr>
            <w:r>
              <w:rPr>
                <w:b/>
              </w:rPr>
              <w:t>100</w:t>
            </w:r>
          </w:p>
        </w:tc>
        <w:tc>
          <w:tcPr>
            <w:tcW w:type="dxa" w:w="1134"/>
            <w:shd w:val="clear" w:color="auto" w:fill="E7E6E6"/>
          </w:tcPr>
          <w:p>
            <w:pPr>
              <w:pStyle w:val="CelulaTabela"/>
              <w:keepNext/>
            </w:pPr>
            <w:r>
              <w:rPr>
                <w:b/>
              </w:rPr>
              <w:t>200</w:t>
            </w:r>
          </w:p>
        </w:tc>
        <w:tc>
          <w:tcPr>
            <w:tcW w:type="dxa" w:w="1134"/>
            <w:shd w:val="clear" w:color="auto" w:fill="E7E6E6"/>
          </w:tcPr>
          <w:p>
            <w:pPr>
              <w:pStyle w:val="CelulaTabela"/>
              <w:keepNext/>
            </w:pPr>
            <w:r>
              <w:rPr>
                <w:b/>
              </w:rPr>
              <w:t>300</w:t>
            </w:r>
          </w:p>
        </w:tc>
      </w:tr>
      <w:tr>
        <w:trPr>
          <w:cantSplit/>
        </w:trPr>
        <w:tc>
          <w:tcPr>
            <w:tcW w:type="dxa" w:w="1701"/>
          </w:tcPr>
          <w:p>
            <w:pPr>
              <w:pStyle w:val="CelulaTabela"/>
              <w:keepNext/>
              <w:jc w:val="left"/>
            </w:pPr>
            <w:r>
              <w:t>IC 95% (%)</w:t>
            </w:r>
          </w:p>
        </w:tc>
        <w:tc>
          <w:tcPr>
            <w:tcW w:type="dxa" w:w="1134"/>
          </w:tcPr>
          <w:p>
            <w:pPr>
              <w:pStyle w:val="CelulaTabela"/>
              <w:keepNext/>
            </w:pPr>
            <w:r>
              <w:t>43,4–90,3</w:t>
            </w:r>
          </w:p>
        </w:tc>
        <w:tc>
          <w:tcPr>
            <w:tcW w:type="dxa" w:w="1134"/>
          </w:tcPr>
          <w:p>
            <w:pPr>
              <w:pStyle w:val="CelulaTabela"/>
              <w:keepNext/>
            </w:pPr>
            <w:r>
              <w:t>60,9–91,1</w:t>
            </w:r>
          </w:p>
        </w:tc>
        <w:tc>
          <w:tcPr>
            <w:tcW w:type="dxa" w:w="1134"/>
          </w:tcPr>
          <w:p>
            <w:pPr>
              <w:pStyle w:val="CelulaTabela"/>
              <w:keepNext/>
            </w:pPr>
            <w:r>
              <w:t>67,0–88,8</w:t>
            </w:r>
          </w:p>
        </w:tc>
        <w:tc>
          <w:tcPr>
            <w:tcW w:type="dxa" w:w="1134"/>
          </w:tcPr>
          <w:p>
            <w:pPr>
              <w:pStyle w:val="CelulaTabela"/>
              <w:keepNext/>
            </w:pPr>
            <w:r>
              <w:t>71,1–86,7</w:t>
            </w:r>
          </w:p>
        </w:tc>
        <w:tc>
          <w:tcPr>
            <w:tcW w:type="dxa" w:w="1134"/>
          </w:tcPr>
          <w:p>
            <w:pPr>
              <w:pStyle w:val="CelulaTabela"/>
              <w:keepNext/>
            </w:pPr>
            <w:r>
              <w:t>73,9–85,0</w:t>
            </w:r>
          </w:p>
        </w:tc>
        <w:tc>
          <w:tcPr>
            <w:tcW w:type="dxa" w:w="1134"/>
          </w:tcPr>
          <w:p>
            <w:pPr>
              <w:pStyle w:val="CelulaTabela"/>
              <w:keepNext/>
            </w:pPr>
            <w:r>
              <w:t>75,1–84,1</w:t>
            </w:r>
          </w:p>
        </w:tc>
      </w:tr>
      <w:tr>
        <w:trPr>
          <w:cantSplit/>
        </w:trPr>
        <w:tc>
          <w:tcPr>
            <w:tcW w:type="dxa" w:w="1701"/>
          </w:tcPr>
          <w:p>
            <w:pPr>
              <w:pStyle w:val="CelulaTabela"/>
              <w:jc w:val="left"/>
            </w:pPr>
            <w:r>
              <w:t>Amplitude (p.p.)</w:t>
            </w:r>
          </w:p>
        </w:tc>
        <w:tc>
          <w:tcPr>
            <w:tcW w:type="dxa" w:w="1134"/>
          </w:tcPr>
          <w:p>
            <w:pPr>
              <w:pStyle w:val="CelulaTabela"/>
            </w:pPr>
            <w:r>
              <w:t>46,8</w:t>
            </w:r>
          </w:p>
        </w:tc>
        <w:tc>
          <w:tcPr>
            <w:tcW w:type="dxa" w:w="1134"/>
          </w:tcPr>
          <w:p>
            <w:pPr>
              <w:pStyle w:val="CelulaTabela"/>
            </w:pPr>
            <w:r>
              <w:t>30,3</w:t>
            </w:r>
          </w:p>
        </w:tc>
        <w:tc>
          <w:tcPr>
            <w:tcW w:type="dxa" w:w="1134"/>
          </w:tcPr>
          <w:p>
            <w:pPr>
              <w:pStyle w:val="CelulaTabela"/>
            </w:pPr>
            <w:r>
              <w:t>21,8</w:t>
            </w:r>
          </w:p>
        </w:tc>
        <w:tc>
          <w:tcPr>
            <w:tcW w:type="dxa" w:w="1134"/>
          </w:tcPr>
          <w:p>
            <w:pPr>
              <w:pStyle w:val="CelulaTabela"/>
            </w:pPr>
            <w:r>
              <w:t>15,5</w:t>
            </w:r>
          </w:p>
        </w:tc>
        <w:tc>
          <w:tcPr>
            <w:tcW w:type="dxa" w:w="1134"/>
          </w:tcPr>
          <w:p>
            <w:pPr>
              <w:pStyle w:val="CelulaTabela"/>
            </w:pPr>
            <w:r>
              <w:t>11,0</w:t>
            </w:r>
          </w:p>
        </w:tc>
        <w:tc>
          <w:tcPr>
            <w:tcW w:type="dxa" w:w="1134"/>
          </w:tcPr>
          <w:p>
            <w:pPr>
              <w:pStyle w:val="CelulaTabela"/>
            </w:pPr>
            <w:r>
              <w:t>9,0</w:t>
            </w:r>
          </w:p>
        </w:tc>
      </w:tr>
    </w:tbl>
    <w:p>
      <w:pPr>
        <w:pStyle w:val="FonteTabela"/>
      </w:pPr>
      <w:r>
        <w:t>¹ Valor efetivamente observado no TCC-I (8 acertos em 11 diagnósticos; proporção de 72,7%). Fonte: elaboração própria (2026).</w:t>
      </w:r>
    </w:p>
    <w:p>
      <w:pPr>
        <w:pStyle w:val="Heading3"/>
      </w:pPr>
      <w:r>
        <w:t>3.5.4 Análises estratificadas e análise qualitativa dos erros</w:t>
      </w:r>
    </w:p>
    <w:p>
      <w:pPr/>
      <w:r>
        <w:t xml:space="preserve">Para responder à segunda parte de Q3, a acurácia de campo é desagregada por três fatores, cada um associado a uma hipótese exploratória. </w:t>
      </w:r>
      <w:r>
        <w:rPr>
          <w:b/>
        </w:rPr>
        <w:t>H1</w:t>
      </w:r>
      <w:r>
        <w:t xml:space="preserve">: o desempenho difere entre culturas, já que apenas a alface possui dados de treino específicos. </w:t>
      </w:r>
      <w:r>
        <w:rPr>
          <w:b/>
        </w:rPr>
        <w:t>H2</w:t>
      </w:r>
      <w:r>
        <w:t xml:space="preserve">: o modelo erra mais em sintomas estruturais (murcha, perfurações) do que em sintomas cromáticos (manchas, clorose, revestimentos), hipótese levantada pela inspeção dos erros de campo no TCC-I. </w:t>
      </w:r>
      <w:r>
        <w:rPr>
          <w:b/>
        </w:rPr>
        <w:t>H3</w:t>
      </w:r>
      <w:r>
        <w:t>: o desempenho diminui à medida que a distância de captura aumenta. H1 e H3 são testadas pelo teste exato de Fisher generalizado (Freeman-Halton) sobre tabelas de contingência fator × desfecho, e H3 também pelo teste de tendência de Cochran-Armitage, dado que as distâncias são ordenadas; H2 é testada pelo teste exato de Fisher em tabela 2×2 (Agresti, 2013). Como os subgrupos serão pequenos, reportam-se também os tamanhos de efeito — diferenças de proporções com intervalo de Newcombe (1998) —, e os resultados são interpretados como exploratórios, e não confirmatórios.</w:t>
      </w:r>
    </w:p>
    <w:p>
      <w:pPr/>
      <w:r>
        <w:t>Por fim, cada erro de campo é examinado qualitativamente com mapas Grad-CAM (Selvaraju et al., 2017), gerados sobre o último bloco convolucional de cada arquitetura, e classificado quanto à causa provável: sintoma sutil, enquadramento amplo, fundo com vegetação, iluminação ou rótulo duvidoso. Essa categorização orienta a discussão e eventuais decisões sobre expansão de dados.</w:t>
      </w:r>
    </w:p>
    <w:p>
      <w:pPr>
        <w:pStyle w:val="LegendaArtigo"/>
      </w:pPr>
      <w:r>
        <w:t>Quadro 1.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Esta seção apresenta os resultados preliminares obtidos no TCC-I, que servem como linha de base e ilustram a aplicação do plano de análise. As análises completas, incluindo os testes de McNemar, os intervalos por bootstrap e as análises estratificadas, serão apresentadas após a coleta do conjunto de campo descrita na Seção 3.4.</w:t>
      </w:r>
    </w:p>
    <w:p>
      <w:pPr>
        <w:pStyle w:val="LegendaArtigo"/>
      </w:pPr>
      <w:r>
        <w:t>Tabela 2. Desempenho preliminar no conjunto de teste (23.967 imagens)</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5,3 M</w:t>
            </w:r>
          </w:p>
        </w:tc>
        <w:tc>
          <w:tcPr>
            <w:tcW w:type="dxa" w:w="1134"/>
          </w:tcPr>
          <w:p>
            <w:pPr>
              <w:pStyle w:val="CelulaTabela"/>
              <w:keepNext/>
            </w:pPr>
            <w:r>
              <w:t>98,49%</w:t>
            </w:r>
          </w:p>
        </w:tc>
        <w:tc>
          <w:tcPr>
            <w:tcW w:type="dxa" w:w="1134"/>
          </w:tcPr>
          <w:p>
            <w:pPr>
              <w:pStyle w:val="CelulaTabela"/>
              <w:keepNext/>
            </w:pPr>
            <w:r>
              <w:t>98,44%</w:t>
            </w:r>
          </w:p>
        </w:tc>
        <w:tc>
          <w:tcPr>
            <w:tcW w:type="dxa" w:w="907"/>
          </w:tcPr>
          <w:p>
            <w:pPr>
              <w:pStyle w:val="CelulaTabela"/>
              <w:keepNext/>
            </w:pPr>
            <w:r>
              <w:t>0,9984</w:t>
            </w:r>
          </w:p>
        </w:tc>
        <w:tc>
          <w:tcPr>
            <w:tcW w:type="dxa" w:w="907"/>
          </w:tcPr>
          <w:p>
            <w:pPr>
              <w:pStyle w:val="CelulaTabela"/>
              <w:keepNext/>
            </w:pPr>
            <w:r>
              <w:t>0,0047</w:t>
            </w:r>
          </w:p>
        </w:tc>
        <w:tc>
          <w:tcPr>
            <w:tcW w:type="dxa" w:w="624"/>
          </w:tcPr>
          <w:p>
            <w:pPr>
              <w:pStyle w:val="CelulaTabela"/>
              <w:keepNext/>
            </w:pPr>
            <w:r>
              <w:t>212</w:t>
            </w:r>
          </w:p>
        </w:tc>
        <w:tc>
          <w:tcPr>
            <w:tcW w:type="dxa" w:w="1020"/>
          </w:tcPr>
          <w:p>
            <w:pPr>
              <w:pStyle w:val="CelulaTabela"/>
              <w:keepNext/>
            </w:pPr>
            <w:r>
              <w:t>8,0 ms</w:t>
            </w:r>
          </w:p>
        </w:tc>
      </w:tr>
      <w:tr>
        <w:trPr>
          <w:cantSplit/>
        </w:trPr>
        <w:tc>
          <w:tcPr>
            <w:tcW w:type="dxa" w:w="1701"/>
          </w:tcPr>
          <w:p>
            <w:pPr>
              <w:pStyle w:val="CelulaTabela"/>
              <w:keepNext/>
              <w:jc w:val="left"/>
            </w:pPr>
            <w:r>
              <w:t>MobileNetV2</w:t>
            </w:r>
          </w:p>
        </w:tc>
        <w:tc>
          <w:tcPr>
            <w:tcW w:type="dxa" w:w="850"/>
          </w:tcPr>
          <w:p>
            <w:pPr>
              <w:pStyle w:val="CelulaTabela"/>
              <w:keepNext/>
            </w:pPr>
            <w:r>
              <w:t>3,4 M</w:t>
            </w:r>
          </w:p>
        </w:tc>
        <w:tc>
          <w:tcPr>
            <w:tcW w:type="dxa" w:w="1134"/>
          </w:tcPr>
          <w:p>
            <w:pPr>
              <w:pStyle w:val="CelulaTabela"/>
              <w:keepNext/>
            </w:pPr>
            <w:r>
              <w:t>98,18%</w:t>
            </w:r>
          </w:p>
        </w:tc>
        <w:tc>
          <w:tcPr>
            <w:tcW w:type="dxa" w:w="1134"/>
          </w:tcPr>
          <w:p>
            <w:pPr>
              <w:pStyle w:val="CelulaTabela"/>
              <w:keepNext/>
            </w:pPr>
            <w:r>
              <w:t>98,05%</w:t>
            </w:r>
          </w:p>
        </w:tc>
        <w:tc>
          <w:tcPr>
            <w:tcW w:type="dxa" w:w="907"/>
          </w:tcPr>
          <w:p>
            <w:pPr>
              <w:pStyle w:val="CelulaTabela"/>
              <w:keepNext/>
            </w:pPr>
            <w:r>
              <w:t>0,9981</w:t>
            </w:r>
          </w:p>
        </w:tc>
        <w:tc>
          <w:tcPr>
            <w:tcW w:type="dxa" w:w="907"/>
          </w:tcPr>
          <w:p>
            <w:pPr>
              <w:pStyle w:val="CelulaTabela"/>
              <w:keepNext/>
            </w:pPr>
            <w:r>
              <w:t>0,0044</w:t>
            </w:r>
          </w:p>
        </w:tc>
        <w:tc>
          <w:tcPr>
            <w:tcW w:type="dxa" w:w="624"/>
          </w:tcPr>
          <w:p>
            <w:pPr>
              <w:pStyle w:val="CelulaTabela"/>
              <w:keepNext/>
            </w:pPr>
            <w:r>
              <w:t>314</w:t>
            </w:r>
          </w:p>
        </w:tc>
        <w:tc>
          <w:tcPr>
            <w:tcW w:type="dxa" w:w="1020"/>
          </w:tcPr>
          <w:p>
            <w:pPr>
              <w:pStyle w:val="CelulaTabela"/>
              <w:keepNext/>
            </w:pPr>
            <w:r>
              <w:t>5,1 ms</w:t>
            </w:r>
          </w:p>
        </w:tc>
      </w:tr>
      <w:tr>
        <w:trPr>
          <w:cantSplit/>
        </w:trPr>
        <w:tc>
          <w:tcPr>
            <w:tcW w:type="dxa" w:w="1701"/>
          </w:tcPr>
          <w:p>
            <w:pPr>
              <w:pStyle w:val="CelulaTabela"/>
              <w:jc w:val="left"/>
            </w:pPr>
            <w:r>
              <w:t>ResNet-50</w:t>
            </w:r>
          </w:p>
        </w:tc>
        <w:tc>
          <w:tcPr>
            <w:tcW w:type="dxa" w:w="850"/>
          </w:tcPr>
          <w:p>
            <w:pPr>
              <w:pStyle w:val="CelulaTabela"/>
            </w:pPr>
            <w:r>
              <w:t>25,6 M</w:t>
            </w:r>
          </w:p>
        </w:tc>
        <w:tc>
          <w:tcPr>
            <w:tcW w:type="dxa" w:w="1134"/>
          </w:tcPr>
          <w:p>
            <w:pPr>
              <w:pStyle w:val="CelulaTabela"/>
            </w:pPr>
            <w:r>
              <w:t>97,73%</w:t>
            </w:r>
          </w:p>
        </w:tc>
        <w:tc>
          <w:tcPr>
            <w:tcW w:type="dxa" w:w="1134"/>
          </w:tcPr>
          <w:p>
            <w:pPr>
              <w:pStyle w:val="CelulaTabela"/>
            </w:pPr>
            <w:r>
              <w:t>97,66%</w:t>
            </w:r>
          </w:p>
        </w:tc>
        <w:tc>
          <w:tcPr>
            <w:tcW w:type="dxa" w:w="907"/>
          </w:tcPr>
          <w:p>
            <w:pPr>
              <w:pStyle w:val="CelulaTabela"/>
            </w:pPr>
            <w:r>
              <w:t>0,9965</w:t>
            </w:r>
          </w:p>
        </w:tc>
        <w:tc>
          <w:tcPr>
            <w:tcW w:type="dxa" w:w="907"/>
          </w:tcPr>
          <w:p>
            <w:pPr>
              <w:pStyle w:val="CelulaTabela"/>
            </w:pPr>
            <w:r>
              <w:t>0,0071</w:t>
            </w:r>
          </w:p>
        </w:tc>
        <w:tc>
          <w:tcPr>
            <w:tcW w:type="dxa" w:w="624"/>
          </w:tcPr>
          <w:p>
            <w:pPr>
              <w:pStyle w:val="CelulaTabela"/>
            </w:pPr>
            <w:r>
              <w:t>325</w:t>
            </w:r>
          </w:p>
        </w:tc>
        <w:tc>
          <w:tcPr>
            <w:tcW w:type="dxa" w:w="1020"/>
          </w:tcPr>
          <w:p>
            <w:pPr>
              <w:pStyle w:val="CelulaTabela"/>
            </w:pPr>
            <w:r>
              <w:t>5,8 ms</w:t>
            </w:r>
          </w:p>
        </w:tc>
      </w:tr>
    </w:tbl>
    <w:p>
      <w:pPr>
        <w:pStyle w:val="FonteTabela"/>
      </w:pPr>
      <w:r>
        <w:t>FN = falsos negativos. Latência medida em GPU NVIDIA RTX 3050 (6 GB). Fonte: elaboração própria (2026).</w:t>
      </w:r>
    </w:p>
    <w:p>
      <w:pPr/>
      <w:r>
        <w:t xml:space="preserve">O EfficientNet-B0 obteve o melhor resultado em todas as métricas de qualidade, com o menor número de falsos negativos, e o ResNet-50, com 4,8 vezes mais parâmetros, ficou em último lugar. As diferenças entre modelos são inferiores a um ponto percentual, o que reforça a necessidade do teste de McNemar previsto na Seção 3.5.1 antes de afirmar a superioridade de uma arquitetura. Quanto à calibração, o </w:t>
      </w:r>
      <w:r>
        <w:rPr>
          <w:i/>
        </w:rPr>
        <w:t>temperature scaling</w:t>
      </w:r>
      <w:r>
        <w:t xml:space="preserve"> reduziu o ECE do EfficientNet-B0 na validação de 0,0495 para 0,0024; no teste, o limiar τ = 0,85 interceptou 138 dos 404 erros (34,2%), com abstenção em 1,4% das imagens — ou seja, dois terços dos erros ainda são emitidos com confiança elevada.</w:t>
      </w:r>
    </w:p>
    <w:p>
      <w:pPr>
        <w:pStyle w:val="LegendaArtigo"/>
      </w:pPr>
      <w:r>
        <w:t>Tabela 3. Validação exploratória em campo (13 fotografias de alface) ao longo de três ciclos de correção</w:t>
      </w:r>
    </w:p>
    <w:tbl>
      <w:tblPr>
        <w:tblStyle w:val="TableGrid"/>
        <w:tblW w:type="auto" w:w="0"/>
        <w:jc w:val="center"/>
        <w:tblLayout w:type="fixed"/>
        <w:tblLook w:firstColumn="1" w:firstRow="1" w:lastColumn="0" w:lastRow="0" w:noHBand="0" w:noVBand="1" w:val="04A0"/>
        <w:tblLayout w:type="fixed"/>
      </w:tblPr>
      <w:tblGrid>
        <w:gridCol w:w="793"/>
        <w:gridCol w:w="1927"/>
        <w:gridCol w:w="1474"/>
        <w:gridCol w:w="963"/>
        <w:gridCol w:w="1247"/>
        <w:gridCol w:w="1871"/>
      </w:tblGrid>
      <w:tr>
        <w:trPr>
          <w:cantSplit/>
        </w:trPr>
        <w:tc>
          <w:tcPr>
            <w:tcW w:type="dxa" w:w="794"/>
            <w:shd w:val="clear" w:color="auto" w:fill="E7E6E6"/>
          </w:tcPr>
          <w:p>
            <w:pPr>
              <w:pStyle w:val="CelulaTabela"/>
              <w:keepNext/>
              <w:jc w:val="left"/>
            </w:pPr>
            <w:r>
              <w:rPr>
                <w:b/>
              </w:rPr>
              <w:t>Ciclo</w:t>
            </w:r>
          </w:p>
        </w:tc>
        <w:tc>
          <w:tcPr>
            <w:tcW w:type="dxa" w:w="1928"/>
            <w:shd w:val="clear" w:color="auto" w:fill="E7E6E6"/>
          </w:tcPr>
          <w:p>
            <w:pPr>
              <w:pStyle w:val="CelulaTabela"/>
              <w:keepNext/>
            </w:pPr>
            <w:r>
              <w:rPr>
                <w:b/>
              </w:rPr>
              <w:t>Correção aplicada</w:t>
            </w:r>
          </w:p>
        </w:tc>
        <w:tc>
          <w:tcPr>
            <w:tcW w:type="dxa" w:w="1474"/>
            <w:shd w:val="clear" w:color="auto" w:fill="E7E6E6"/>
          </w:tcPr>
          <w:p>
            <w:pPr>
              <w:pStyle w:val="CelulaTabela"/>
              <w:keepNext/>
            </w:pPr>
            <w:r>
              <w:rPr>
                <w:b/>
              </w:rPr>
              <w:t>Diagnósticos</w:t>
            </w:r>
          </w:p>
        </w:tc>
        <w:tc>
          <w:tcPr>
            <w:tcW w:type="dxa" w:w="964"/>
            <w:shd w:val="clear" w:color="auto" w:fill="E7E6E6"/>
          </w:tcPr>
          <w:p>
            <w:pPr>
              <w:pStyle w:val="CelulaTabela"/>
              <w:keepNext/>
            </w:pPr>
            <w:r>
              <w:rPr>
                <w:b/>
              </w:rPr>
              <w:t>Acertos</w:t>
            </w:r>
          </w:p>
        </w:tc>
        <w:tc>
          <w:tcPr>
            <w:tcW w:type="dxa" w:w="1247"/>
            <w:shd w:val="clear" w:color="auto" w:fill="E7E6E6"/>
          </w:tcPr>
          <w:p>
            <w:pPr>
              <w:pStyle w:val="CelulaTabela"/>
              <w:keepNext/>
            </w:pPr>
            <w:r>
              <w:rPr>
                <w:b/>
              </w:rPr>
              <w:t>Proporção</w:t>
            </w:r>
          </w:p>
        </w:tc>
        <w:tc>
          <w:tcPr>
            <w:tcW w:type="dxa" w:w="1871"/>
            <w:shd w:val="clear" w:color="auto" w:fill="E7E6E6"/>
          </w:tcPr>
          <w:p>
            <w:pPr>
              <w:pStyle w:val="CelulaTabela"/>
              <w:keepNext/>
            </w:pPr>
            <w:r>
              <w:rPr>
                <w:b/>
              </w:rPr>
              <w:t>IC 95% (Wilson)</w:t>
            </w:r>
          </w:p>
        </w:tc>
      </w:tr>
      <w:tr>
        <w:trPr>
          <w:cantSplit/>
        </w:trPr>
        <w:tc>
          <w:tcPr>
            <w:tcW w:type="dxa" w:w="794"/>
          </w:tcPr>
          <w:p>
            <w:pPr>
              <w:pStyle w:val="CelulaTabela"/>
              <w:keepNext/>
              <w:jc w:val="left"/>
            </w:pPr>
            <w:r>
              <w:t>1</w:t>
            </w:r>
          </w:p>
        </w:tc>
        <w:tc>
          <w:tcPr>
            <w:tcW w:type="dxa" w:w="1928"/>
          </w:tcPr>
          <w:p>
            <w:pPr>
              <w:pStyle w:val="CelulaTabela"/>
              <w:keepNext/>
            </w:pPr>
            <w:r>
              <w:t>Vazamento de dados</w:t>
            </w:r>
          </w:p>
        </w:tc>
        <w:tc>
          <w:tcPr>
            <w:tcW w:type="dxa" w:w="1474"/>
          </w:tcPr>
          <w:p>
            <w:pPr>
              <w:pStyle w:val="CelulaTabela"/>
              <w:keepNext/>
            </w:pPr>
            <w:r>
              <w:t>12 de 13</w:t>
            </w:r>
          </w:p>
        </w:tc>
        <w:tc>
          <w:tcPr>
            <w:tcW w:type="dxa" w:w="964"/>
          </w:tcPr>
          <w:p>
            <w:pPr>
              <w:pStyle w:val="CelulaTabela"/>
              <w:keepNext/>
            </w:pPr>
            <w:r>
              <w:t>11</w:t>
            </w:r>
          </w:p>
        </w:tc>
        <w:tc>
          <w:tcPr>
            <w:tcW w:type="dxa" w:w="1247"/>
          </w:tcPr>
          <w:p>
            <w:pPr>
              <w:pStyle w:val="CelulaTabela"/>
              <w:keepNext/>
            </w:pPr>
            <w:r>
              <w:t>91,7%</w:t>
            </w:r>
          </w:p>
        </w:tc>
        <w:tc>
          <w:tcPr>
            <w:tcW w:type="dxa" w:w="1871"/>
          </w:tcPr>
          <w:p>
            <w:pPr>
              <w:pStyle w:val="CelulaTabela"/>
              <w:keepNext/>
            </w:pPr>
            <w:r>
              <w:t>[64,6%; 98,5%]</w:t>
            </w:r>
          </w:p>
        </w:tc>
      </w:tr>
      <w:tr>
        <w:trPr>
          <w:cantSplit/>
        </w:trPr>
        <w:tc>
          <w:tcPr>
            <w:tcW w:type="dxa" w:w="794"/>
          </w:tcPr>
          <w:p>
            <w:pPr>
              <w:pStyle w:val="CelulaTabela"/>
              <w:keepNext/>
              <w:jc w:val="left"/>
            </w:pPr>
            <w:r>
              <w:t>2</w:t>
            </w:r>
          </w:p>
        </w:tc>
        <w:tc>
          <w:tcPr>
            <w:tcW w:type="dxa" w:w="1928"/>
          </w:tcPr>
          <w:p>
            <w:pPr>
              <w:pStyle w:val="CelulaTabela"/>
              <w:keepNext/>
            </w:pPr>
            <w:r>
              <w:t>Abstenção; dados de alface</w:t>
            </w:r>
          </w:p>
        </w:tc>
        <w:tc>
          <w:tcPr>
            <w:tcW w:type="dxa" w:w="1474"/>
          </w:tcPr>
          <w:p>
            <w:pPr>
              <w:pStyle w:val="CelulaTabela"/>
              <w:keepNext/>
            </w:pPr>
            <w:r>
              <w:t>13 de 13</w:t>
            </w:r>
          </w:p>
        </w:tc>
        <w:tc>
          <w:tcPr>
            <w:tcW w:type="dxa" w:w="964"/>
          </w:tcPr>
          <w:p>
            <w:pPr>
              <w:pStyle w:val="CelulaTabela"/>
              <w:keepNext/>
            </w:pPr>
            <w:r>
              <w:t>10</w:t>
            </w:r>
          </w:p>
        </w:tc>
        <w:tc>
          <w:tcPr>
            <w:tcW w:type="dxa" w:w="1247"/>
          </w:tcPr>
          <w:p>
            <w:pPr>
              <w:pStyle w:val="CelulaTabela"/>
              <w:keepNext/>
            </w:pPr>
            <w:r>
              <w:t>76,9%</w:t>
            </w:r>
          </w:p>
        </w:tc>
        <w:tc>
          <w:tcPr>
            <w:tcW w:type="dxa" w:w="1871"/>
          </w:tcPr>
          <w:p>
            <w:pPr>
              <w:pStyle w:val="CelulaTabela"/>
              <w:keepNext/>
            </w:pPr>
            <w:r>
              <w:t>[49,7%; 91,8%]</w:t>
            </w:r>
          </w:p>
        </w:tc>
      </w:tr>
      <w:tr>
        <w:trPr>
          <w:cantSplit/>
        </w:trPr>
        <w:tc>
          <w:tcPr>
            <w:tcW w:type="dxa" w:w="794"/>
          </w:tcPr>
          <w:p>
            <w:pPr>
              <w:pStyle w:val="CelulaTabela"/>
              <w:jc w:val="left"/>
            </w:pPr>
            <w:r>
              <w:t>3</w:t>
            </w:r>
          </w:p>
        </w:tc>
        <w:tc>
          <w:tcPr>
            <w:tcW w:type="dxa" w:w="1928"/>
          </w:tcPr>
          <w:p>
            <w:pPr>
              <w:pStyle w:val="CelulaTabela"/>
            </w:pPr>
            <w:r>
              <w:t>Rotulagem automática</w:t>
            </w:r>
          </w:p>
        </w:tc>
        <w:tc>
          <w:tcPr>
            <w:tcW w:type="dxa" w:w="1474"/>
          </w:tcPr>
          <w:p>
            <w:pPr>
              <w:pStyle w:val="CelulaTabela"/>
            </w:pPr>
            <w:r>
              <w:t>11 de 13</w:t>
            </w:r>
          </w:p>
        </w:tc>
        <w:tc>
          <w:tcPr>
            <w:tcW w:type="dxa" w:w="964"/>
          </w:tcPr>
          <w:p>
            <w:pPr>
              <w:pStyle w:val="CelulaTabela"/>
            </w:pPr>
            <w:r>
              <w:t>8</w:t>
            </w:r>
          </w:p>
        </w:tc>
        <w:tc>
          <w:tcPr>
            <w:tcW w:type="dxa" w:w="1247"/>
          </w:tcPr>
          <w:p>
            <w:pPr>
              <w:pStyle w:val="CelulaTabela"/>
            </w:pPr>
            <w:r>
              <w:t>72,7%</w:t>
            </w:r>
          </w:p>
        </w:tc>
        <w:tc>
          <w:tcPr>
            <w:tcW w:type="dxa" w:w="1871"/>
          </w:tcPr>
          <w:p>
            <w:pPr>
              <w:pStyle w:val="CelulaTabela"/>
            </w:pPr>
            <w:r>
              <w:t>[43,4%; 90,3%]</w:t>
            </w:r>
          </w:p>
        </w:tc>
      </w:tr>
    </w:tbl>
    <w:p>
      <w:pPr>
        <w:pStyle w:val="FonteTabela"/>
      </w:pPr>
      <w:r>
        <w:t>Fonte: elaboração própria (2026).</w:t>
      </w:r>
    </w:p>
    <w:p>
      <w:pPr/>
      <w:r>
        <w:t>A Tabela 3 mostra por que a análise estatística é central neste trabalho. Em pontos estimados, o desempenho de campo teria piorado a cada ciclo, mesmo com a correção de defeitos reais — entre eles, 3.972 imagens de alface saudável rotuladas como doentes. No entanto, os três intervalos de Wilson se sobrepõem entre 64,6% e 90,3%: com N = 13, as versões são estatisticamente indistinguíveis. A amostra atual foi suficiente para revelar o defeito de rotulagem, invisível às métricas de laboratório, mas não tem poder para decidir entre modelos, o que justifica a coleta planejada.</w:t>
      </w:r>
    </w:p>
    <w:p>
      <w:pPr>
        <w:pStyle w:val="Heading1"/>
      </w:pPr>
      <w:r>
        <w:t>5. Conclusão</w:t>
      </w:r>
    </w:p>
    <w:p>
      <w:pPr/>
      <w:r>
        <w:t>Esta parcial apresentou a questão de pesquisa, os objetivos e o plano de análise dos dados do trabalho. A questão central — quanto um sistema de triagem fitossanitária treinado em imagens públicas vale em condições reais de campo — decorre diretamente dos resultados do TCC-I, que mostraram tanto a fragilidade de métricas obtidas sem auditoria de vazamento quanto a distância entre o desempenho de laboratório (98,49%) e o de campo (73,3%, com intervalo de 43,4% a 90,3%).</w:t>
      </w:r>
    </w:p>
    <w:p>
      <w:pPr/>
      <w:r>
        <w:t>A próxima etapa é a coleta do conjunto de campo, pré-requisito para as análises das Seções 3.5.3 e 3.5.4 e para qualquer decisão sobre novos ciclos de treinamento.</w:t>
      </w:r>
    </w:p>
    <w:p>
      <w:pPr>
        <w:pStyle w:val="Heading1"/>
      </w:pPr>
      <w:r>
        <w:t>Referências</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EFRON, B.; TIBSHIRANI, R. J. </w:t>
      </w:r>
      <w:r>
        <w:rPr>
          <w:b/>
        </w:rPr>
        <w:t>An introduction to the bootstrap</w:t>
      </w:r>
      <w:r>
        <w:t>. New York: Chapman &amp; Hall, 1993.</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TOO, E. C. et al. A comparative study of fine-tuning deep learning models for plant disease identification. </w:t>
      </w:r>
      <w:r>
        <w:rPr>
          <w:b/>
        </w:rPr>
        <w:t>Computers and Electronics in Agriculture</w:t>
      </w:r>
      <w:r>
        <w:t>, v. 161, p. 272-279, 2019. DOI: 10.1016/j.compag.2018.03.032.</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