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8.png" ContentType="image/png"/>
  <Override PartName="/word/media/rId30.png" ContentType="image/png"/>
  <Override PartName="/word/media/rId27.png" ContentType="image/png"/>
  <Override PartName="/word/media/rId34.png" ContentType="image/png"/>
  <Override PartName="/word/media/rId37.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uacp-재현-실험-보고서"/>
    <w:p>
      <w:pPr>
        <w:pStyle w:val="Heading1"/>
      </w:pPr>
      <w:r>
        <w:t xml:space="preserve">UACP 재현 실험 보고서</w:t>
      </w:r>
    </w:p>
    <w:p>
      <w:pPr>
        <w:pStyle w:val="FirstParagraph"/>
      </w:pPr>
      <w:r>
        <w:rPr>
          <w:b/>
          <w:bCs/>
        </w:rPr>
        <w:t xml:space="preserve">범위:</w:t>
      </w:r>
      <w:r>
        <w:t xml:space="preserve"> </w:t>
      </w:r>
      <w:r>
        <w:t xml:space="preserve">Sections 1–3 only. 기존 artifact 기반 read-only 비교 보고서</w:t>
      </w:r>
      <w:r>
        <w:br/>
      </w:r>
      <w:r>
        <w:rPr>
          <w:b/>
          <w:bCs/>
        </w:rPr>
        <w:t xml:space="preserve">작성일:</w:t>
      </w:r>
      <w:r>
        <w:t xml:space="preserve"> </w:t>
      </w:r>
      <w:r>
        <w:t xml:space="preserve">2026-09-18</w:t>
      </w:r>
      <w:r>
        <w:br/>
      </w:r>
      <w:r>
        <w:rPr>
          <w:b/>
          <w:bCs/>
        </w:rPr>
        <w:t xml:space="preserve">주의:</w:t>
      </w:r>
      <w:r>
        <w:t xml:space="preserve"> </w:t>
      </w:r>
      <w:r>
        <w:t xml:space="preserve">지정된</w:t>
      </w:r>
      <w:r>
        <w:t xml:space="preserve"> </w:t>
      </w:r>
      <w:r>
        <w:rPr>
          <w:rStyle w:val="VerbatimChar"/>
        </w:rPr>
        <w:t xml:space="preserve">/mnt/data/mobihoc26-paper289.pdf</w:t>
      </w:r>
      <w:r>
        <w:t xml:space="preserve">,</w:t>
      </w:r>
      <w:r>
        <w:t xml:space="preserve"> </w:t>
      </w:r>
      <w:r>
        <w:rPr>
          <w:rStyle w:val="VerbatimChar"/>
        </w:rPr>
        <w:t xml:space="preserve">/mnt/data/UACP실험.pdf</w:t>
      </w:r>
      <w:r>
        <w:t xml:space="preserve">는 현재 환경에 없었습니다. repository의</w:t>
      </w:r>
      <w:r>
        <w:t xml:space="preserve"> </w:t>
      </w:r>
      <w:r>
        <w:rPr>
          <w:rStyle w:val="VerbatimChar"/>
        </w:rPr>
        <w:t xml:space="preserve">mobihoc26-paper289.pdf</w:t>
      </w:r>
      <w:r>
        <w:t xml:space="preserve">,</w:t>
      </w:r>
      <w:r>
        <w:t xml:space="preserve"> </w:t>
      </w:r>
      <w:r>
        <w:rPr>
          <w:rStyle w:val="VerbatimChar"/>
        </w:rPr>
        <w:t xml:space="preserve">UACP실험_250914.pdf</w:t>
      </w:r>
      <w:r>
        <w:t xml:space="preserve">를 대체 참고자료로 사용했습니다.</w:t>
      </w:r>
    </w:p>
    <w:bookmarkStart w:id="9" w:name="Xd1327a39508fadf6312156d3ecfc904c40f9cdd"/>
    <w:p>
      <w:pPr>
        <w:pStyle w:val="Heading2"/>
      </w:pPr>
      <w:r>
        <w:t xml:space="preserve">1. 연구 목적 및 재현 목표</w:t>
      </w:r>
    </w:p>
    <w:p>
      <w:pPr>
        <w:pStyle w:val="FirstParagraph"/>
      </w:pPr>
      <w:r>
        <w:t xml:space="preserve">UACP는 sparse channel state information(CFR)을 입력으로 받아 full CFR을 reconstruction하고, Evidential Regression을 통해 Aleatoric uncertainty와 Epistemic uncertainty를 동시에 추정하는 구조다. Aleatoric uncertainty는 현재 channel 자체가 얼마나 reconstruction하기 어려운지를 나타내는 신호이고, Epistemic uncertainty는 predictor가 현재 channel distribution을 얼마나 낯설게 보는지를 나타내는 신호다. 이 두 신호는 feedback rate를 조절하고, OOD channel에서 추가 adaptation이 필요한지를 판단하는 데 사용될 수 있다.</w:t>
      </w:r>
    </w:p>
    <w:p>
      <w:pPr>
        <w:pStyle w:val="BodyText"/>
      </w:pPr>
      <w:r>
        <w:t xml:space="preserve">본 재현의 1차 검증 기준은 세 가지다. 첫째, sparse CFR 입력으로부터의 CFR reconstruction이 정상적으로 학습되는지 확인한다. 둘째, training range 안에서 delay spread가 큰 ID-Hard 80 ns가 ID-Easy 20 ns보다 reconstruction하기 어려운지 확인한다. 셋째, training distribution 밖에서 Epistemic uncertainty가 증가해 ID와 OOD를 구분하는지 확인한다. 이후 연구 흐름에서는 calibration을 통해 uncertainty의 신뢰성을 점검하고, 최종적으로 dynamic feedback control까지 연결해야 한다. 다만 본 보고서는 Fig.11 최종 평가를 포함하지 않는다.</w:t>
      </w:r>
    </w:p>
    <w:p>
      <w:pPr>
        <w:pStyle w:val="BodyText"/>
      </w:pPr>
      <w:r>
        <w:t xml:space="preserve">이 baseline은 향후 Epistemic uncertainty 기반 Full Fine-Tuning과 Partial Fine-Tuning을 비교하기 위한 출발점이다. 따라서 단일 수치의 최적화보다 reconstruction 품질, uncertainty separation, calibration, 학습 비용, numerical stability를 함께 기록하는 것이 목적이다.</w:t>
      </w:r>
    </w:p>
    <w:bookmarkEnd w:id="9"/>
    <w:bookmarkStart w:id="16" w:name="X31874973e1143b66294760cac6c63d1970cd98e"/>
    <w:p>
      <w:pPr>
        <w:pStyle w:val="Heading2"/>
      </w:pPr>
      <w:r>
        <w:t xml:space="preserve">2. 논문 기준 및 현재 재현 환경</w:t>
      </w:r>
    </w:p>
    <w:bookmarkStart w:id="10" w:name="X41311cfc583d2931e165c1f9b79dd2df0465617"/>
    <w:p>
      <w:pPr>
        <w:pStyle w:val="Heading3"/>
      </w:pPr>
      <w:r>
        <w:t xml:space="preserve">2.1 원 논문의 Experimental Setup</w:t>
      </w:r>
    </w:p>
    <w:p>
      <w:pPr>
        <w:pStyle w:val="FirstParagraph"/>
      </w:pPr>
      <w:r>
        <w:t xml:space="preserve">원 논문 Section 4에 공개된 설정은 다음과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논문 설정</w:t>
            </w:r>
          </w:p>
        </w:tc>
      </w:tr>
      <w:tr>
        <w:tc>
          <w:tcPr/>
          <w:p>
            <w:pPr>
              <w:pStyle w:val="Compact"/>
            </w:pPr>
            <w:r>
              <w:t xml:space="preserve">MIMO</w:t>
            </w:r>
          </w:p>
        </w:tc>
        <w:tc>
          <w:tcPr/>
          <w:p>
            <w:pPr>
              <w:pStyle w:val="Compact"/>
            </w:pPr>
            <w:r>
              <w:t xml:space="preserve">2×2</w:t>
            </w:r>
          </w:p>
        </w:tc>
      </w:tr>
      <w:tr>
        <w:tc>
          <w:tcPr/>
          <w:p>
            <w:pPr>
              <w:pStyle w:val="Compact"/>
            </w:pPr>
            <w:r>
              <w:t xml:space="preserve">Subcarriers K</w:t>
            </w:r>
          </w:p>
        </w:tc>
        <w:tc>
          <w:tcPr/>
          <w:p>
            <w:pPr>
              <w:pStyle w:val="Compact"/>
            </w:pPr>
            <w:r>
              <w:t xml:space="preserve">1024</w:t>
            </w:r>
          </w:p>
        </w:tc>
      </w:tr>
      <w:tr>
        <w:tc>
          <w:tcPr/>
          <w:p>
            <w:pPr>
              <w:pStyle w:val="Compact"/>
            </w:pPr>
            <w:r>
              <w:t xml:space="preserve">Carrier frequency</w:t>
            </w:r>
          </w:p>
        </w:tc>
        <w:tc>
          <w:tcPr/>
          <w:p>
            <w:pPr>
              <w:pStyle w:val="Compact"/>
            </w:pPr>
            <w:r>
              <w:t xml:space="preserve">3.5 GHz</w:t>
            </w:r>
          </w:p>
        </w:tc>
      </w:tr>
      <w:tr>
        <w:tc>
          <w:tcPr/>
          <w:p>
            <w:pPr>
              <w:pStyle w:val="Compact"/>
            </w:pPr>
            <w:r>
              <w:t xml:space="preserve">Subcarrier spacing</w:t>
            </w:r>
          </w:p>
        </w:tc>
        <w:tc>
          <w:tcPr/>
          <w:p>
            <w:pPr>
              <w:pStyle w:val="Compact"/>
            </w:pPr>
            <w:r>
              <w:t xml:space="preserve">30 kHz</w:t>
            </w:r>
          </w:p>
        </w:tc>
      </w:tr>
      <w:tr>
        <w:tc>
          <w:tcPr/>
          <w:p>
            <w:pPr>
              <w:pStyle w:val="Compact"/>
            </w:pPr>
            <w:r>
              <w:t xml:space="preserve">SNR</w:t>
            </w:r>
          </w:p>
        </w:tc>
        <w:tc>
          <w:tcPr/>
          <w:p>
            <w:pPr>
              <w:pStyle w:val="Compact"/>
            </w:pPr>
            <w:r>
              <w:t xml:space="preserve">15 dB</w:t>
            </w:r>
          </w:p>
        </w:tc>
      </w:tr>
      <w:tr>
        <w:tc>
          <w:tcPr/>
          <w:p>
            <w:pPr>
              <w:pStyle w:val="Compact"/>
            </w:pPr>
            <w:r>
              <w:t xml:space="preserve">Training delay spread</w:t>
            </w:r>
          </w:p>
        </w:tc>
        <w:tc>
          <w:tcPr/>
          <w:p>
            <w:pPr>
              <w:pStyle w:val="Compact"/>
            </w:pPr>
            <w:r>
              <w:t xml:space="preserve">Uniform [10,100] ns</w:t>
            </w:r>
          </w:p>
        </w:tc>
      </w:tr>
      <w:tr>
        <w:tc>
          <w:tcPr/>
          <w:p>
            <w:pPr>
              <w:pStyle w:val="Compact"/>
            </w:pPr>
            <w:r>
              <w:t xml:space="preserve">Training samples</w:t>
            </w:r>
          </w:p>
        </w:tc>
        <w:tc>
          <w:tcPr/>
          <w:p>
            <w:pPr>
              <w:pStyle w:val="Compact"/>
            </w:pPr>
            <w:r>
              <w:t xml:space="preserve">100,000</w:t>
            </w:r>
          </w:p>
        </w:tc>
      </w:tr>
      <w:tr>
        <w:tc>
          <w:tcPr/>
          <w:p>
            <w:pPr>
              <w:pStyle w:val="Compact"/>
            </w:pPr>
            <w:r>
              <w:t xml:space="preserve">Batch size</w:t>
            </w:r>
          </w:p>
        </w:tc>
        <w:tc>
          <w:tcPr/>
          <w:p>
            <w:pPr>
              <w:pStyle w:val="Compact"/>
            </w:pPr>
            <w:r>
              <w:t xml:space="preserve">4096</w:t>
            </w:r>
          </w:p>
        </w:tc>
      </w:tr>
      <w:tr>
        <w:tc>
          <w:tcPr/>
          <w:p>
            <w:pPr>
              <w:pStyle w:val="Compact"/>
            </w:pPr>
            <w:r>
              <w:t xml:space="preserve">Epochs</w:t>
            </w:r>
          </w:p>
        </w:tc>
        <w:tc>
          <w:tcPr/>
          <w:p>
            <w:pPr>
              <w:pStyle w:val="Compact"/>
            </w:pPr>
            <w:r>
              <w:t xml:space="preserve">150</w:t>
            </w:r>
          </w:p>
        </w:tc>
      </w:tr>
      <w:tr>
        <w:tc>
          <w:tcPr/>
          <w:p>
            <w:pPr>
              <w:pStyle w:val="Compact"/>
            </w:pPr>
            <w:r>
              <w:t xml:space="preserve">Learning rate</w:t>
            </w:r>
          </w:p>
        </w:tc>
        <w:tc>
          <w:tcPr/>
          <w:p>
            <w:pPr>
              <w:pStyle w:val="Compact"/>
            </w:pPr>
            <w:r>
              <w:t xml:space="preserve">1e-4</w:t>
            </w:r>
          </w:p>
        </w:tc>
      </w:tr>
      <w:tr>
        <w:tc>
          <w:tcPr/>
          <w:p>
            <w:pPr>
              <w:pStyle w:val="Compact"/>
            </w:pPr>
            <w:r>
              <w:t xml:space="preserve">λreg</w:t>
            </w:r>
          </w:p>
        </w:tc>
        <w:tc>
          <w:tcPr/>
          <w:p>
            <w:pPr>
              <w:pStyle w:val="Compact"/>
            </w:pPr>
            <w:r>
              <w:t xml:space="preserve">1e-3</w:t>
            </w:r>
          </w:p>
        </w:tc>
      </w:tr>
    </w:tbl>
    <w:p>
      <w:pPr>
        <w:pStyle w:val="BodyText"/>
      </w:pPr>
      <w:r>
        <w:t xml:space="preserve">논문은 ID-easy를 20 ns, ID-hard를 80 ns로 설명하며, OOD는 training delay-spread interval을 벗어난 channel로 정의한다. 본 비교에서는 OOD-near를 120 ns, OOD-far를 1 ms로 구분했다. 이 regime 명칭과 120 ns/1 ms 세부 평가는 현재 실험 protocol의 구성으로 기록한다.</w:t>
      </w:r>
    </w:p>
    <w:bookmarkEnd w:id="10"/>
    <w:bookmarkStart w:id="14" w:name="X1e17ec8a82a2222dc158031ecd9d12b721f06d4"/>
    <w:p>
      <w:pPr>
        <w:pStyle w:val="Heading3"/>
      </w:pPr>
      <w:r>
        <w:t xml:space="preserve">2.2 현재 구현 pipeline</w:t>
      </w:r>
    </w:p>
    <w:p>
      <w:pPr>
        <w:pStyle w:val="FirstParagraph"/>
      </w:pPr>
      <w:r>
        <w:t xml:space="preserve">아래 흐름은</w:t>
      </w:r>
      <w:r>
        <w:t xml:space="preserve"> </w:t>
      </w:r>
      <w:r>
        <w:rPr>
          <w:rStyle w:val="VerbatimChar"/>
        </w:rPr>
        <w:t xml:space="preserve">src/training/data.py</w:t>
      </w:r>
      <w:r>
        <w:t xml:space="preserve">,</w:t>
      </w:r>
      <w:r>
        <w:t xml:space="preserve"> </w:t>
      </w:r>
      <w:r>
        <w:rPr>
          <w:rStyle w:val="VerbatimChar"/>
        </w:rPr>
        <w:t xml:space="preserve">src/models/uacp_predictor.py</w:t>
      </w:r>
      <w:r>
        <w:t xml:space="preserve">,</w:t>
      </w:r>
      <w:r>
        <w:t xml:space="preserve"> </w:t>
      </w:r>
      <w:r>
        <w:rPr>
          <w:rStyle w:val="VerbatimChar"/>
        </w:rPr>
        <w:t xml:space="preserve">src/models/evidential.py</w:t>
      </w:r>
      <w:r>
        <w:t xml:space="preserve">,</w:t>
      </w:r>
      <w:r>
        <w:t xml:space="preserve"> </w:t>
      </w:r>
      <w:r>
        <w:rPr>
          <w:rStyle w:val="VerbatimChar"/>
        </w:rPr>
        <w:t xml:space="preserve">src/training/uncertainty.py</w:t>
      </w:r>
      <w:r>
        <w:t xml:space="preserve">를 기준으로 정리했다. 이 그림은 문서 본문에서 설명한 뒤 배치한다.</w:t>
      </w:r>
    </w:p>
    <w:p>
      <w:pPr>
        <w:pStyle w:val="BodyText"/>
      </w:pPr>
      <w:r>
        <w:drawing>
          <wp:inline>
            <wp:extent cx="5334000" cy="1245739"/>
            <wp:effectExtent b="0" l="0" r="0" t="0"/>
            <wp:docPr descr="현재 구현 pipeline" title="" id="12" name="Picture"/>
            <a:graphic>
              <a:graphicData uri="http://schemas.openxmlformats.org/drawingml/2006/picture">
                <pic:pic>
                  <pic:nvPicPr>
                    <pic:cNvPr descr="figures/pipeline_flow.png" id="13" name="Picture"/>
                    <pic:cNvPicPr>
                      <a:picLocks noChangeArrowheads="1" noChangeAspect="1"/>
                    </pic:cNvPicPr>
                  </pic:nvPicPr>
                  <pic:blipFill>
                    <a:blip r:embed="rId11"/>
                    <a:stretch>
                      <a:fillRect/>
                    </a:stretch>
                  </pic:blipFill>
                  <pic:spPr bwMode="auto">
                    <a:xfrm>
                      <a:off x="0" y="0"/>
                      <a:ext cx="5334000" cy="1245739"/>
                    </a:xfrm>
                    <a:prstGeom prst="rect">
                      <a:avLst/>
                    </a:prstGeom>
                    <a:noFill/>
                    <a:ln w="9525">
                      <a:noFill/>
                      <a:headEnd/>
                      <a:tailEnd/>
                    </a:ln>
                  </pic:spPr>
                </pic:pic>
              </a:graphicData>
            </a:graphic>
          </wp:inline>
        </w:drawing>
      </w:r>
    </w:p>
    <w:p>
      <w:pPr>
        <w:pStyle w:val="BodyText"/>
      </w:pPr>
      <w:r>
        <w:t xml:space="preserve">그림 1. Sionna CFR 생성부터 mask-aware Evidential Predictor와 uncertainty 산출까지의 현재 구현 흐름.</w:t>
      </w:r>
    </w:p>
    <w:p>
      <w:pPr>
        <w:pStyle w:val="BodyText"/>
      </w:pPr>
      <w:r>
        <w:t xml:space="preserve">현재 predictor 입력은</w:t>
      </w:r>
      <w:r>
        <w:t xml:space="preserve"> </w:t>
      </w:r>
      <w:r>
        <w:rPr>
          <w:rStyle w:val="VerbatimChar"/>
        </w:rPr>
        <w:t xml:space="preserve">[B, 9, 1024]</w:t>
      </w:r>
      <w:r>
        <w:t xml:space="preserve">이다. 2×2 MIMO의 네 complex antenna-pair CFR을 real/imaginary 8개 channel로 펼치고, sparse CFR의 omitted 위치를 0으로 만든 뒤 binary mask 1개를 추가한다. 평가 mask는</w:t>
      </w:r>
      <w:r>
        <w:t xml:space="preserve"> </w:t>
      </w:r>
      <w:r>
        <w:rPr>
          <w:rStyle w:val="VerbatimChar"/>
        </w:rPr>
        <w:t xml:space="preserve">Ng=16</w:t>
      </w:r>
      <w:r>
        <w:t xml:space="preserve">으로 uniform하게 subcarrier를 관측한다. 현재 구현의 Evidential head는 γ, κ, Ψ, ν를 만들고, Ψ는 full covariance가 아니라 diagonal approximation으로 사용된다.</w:t>
      </w:r>
    </w:p>
    <w:bookmarkEnd w:id="14"/>
    <w:bookmarkStart w:id="15" w:name="X08696efb8c073932f800c6bf4847b4f957190fa"/>
    <w:p>
      <w:pPr>
        <w:pStyle w:val="Heading3"/>
      </w:pPr>
      <w:r>
        <w:t xml:space="preserve">2.3 논문과 다른 IMPLEMENTATION-ASSUMPTION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항목</w:t>
            </w:r>
          </w:p>
        </w:tc>
        <w:tc>
          <w:tcPr/>
          <w:p>
            <w:pPr>
              <w:pStyle w:val="Compact"/>
            </w:pPr>
            <w:r>
              <w:t xml:space="preserve">논문 공개 여부</w:t>
            </w:r>
          </w:p>
        </w:tc>
        <w:tc>
          <w:tcPr/>
          <w:p>
            <w:pPr>
              <w:pStyle w:val="Compact"/>
            </w:pPr>
            <w:r>
              <w:t xml:space="preserve">현재 구현</w:t>
            </w:r>
          </w:p>
        </w:tc>
        <w:tc>
          <w:tcPr/>
          <w:p>
            <w:pPr>
              <w:pStyle w:val="Compact"/>
            </w:pPr>
            <w:r>
              <w:t xml:space="preserve">이유/해석</w:t>
            </w:r>
          </w:p>
        </w:tc>
      </w:tr>
      <w:tr>
        <w:tc>
          <w:tcPr/>
          <w:p>
            <w:pPr>
              <w:pStyle w:val="Compact"/>
            </w:pPr>
            <w:r>
              <w:t xml:space="preserve">Channel model</w:t>
            </w:r>
          </w:p>
        </w:tc>
        <w:tc>
          <w:tcPr/>
          <w:p>
            <w:pPr>
              <w:pStyle w:val="Compact"/>
            </w:pPr>
            <w:r>
              <w:t xml:space="preserve">정확한 Sionna TDL 설정 미공개</w:t>
            </w:r>
          </w:p>
        </w:tc>
        <w:tc>
          <w:tcPr/>
          <w:p>
            <w:pPr>
              <w:pStyle w:val="Compact"/>
            </w:pPr>
            <w:r>
              <w:t xml:space="preserve">Sionna TDL-A, zero mobility, normalize=false</w:t>
            </w:r>
          </w:p>
        </w:tc>
        <w:tc>
          <w:tcPr/>
          <w:p>
            <w:pPr>
              <w:pStyle w:val="Compact"/>
            </w:pPr>
            <w:r>
              <w:t xml:space="preserve">repository의 데이터 생성 설정.</w:t>
            </w:r>
            <w:r>
              <w:t xml:space="preserve"> </w:t>
            </w:r>
            <w:r>
              <w:rPr>
                <w:rStyle w:val="VerbatimChar"/>
              </w:rPr>
              <w:t xml:space="preserve">IMPLEMENTATION-ASSUMPTION</w:t>
            </w:r>
          </w:p>
        </w:tc>
      </w:tr>
      <w:tr>
        <w:tc>
          <w:tcPr/>
          <w:p>
            <w:pPr>
              <w:pStyle w:val="Compact"/>
            </w:pPr>
            <w:r>
              <w:t xml:space="preserve">SNR 적용 단계</w:t>
            </w:r>
          </w:p>
        </w:tc>
        <w:tc>
          <w:tcPr/>
          <w:p>
            <w:pPr>
              <w:pStyle w:val="Compact"/>
            </w:pPr>
            <w:r>
              <w:t xml:space="preserve">15 dB는 공개되지만 noise 적용 단계는 미공개</w:t>
            </w:r>
          </w:p>
        </w:tc>
        <w:tc>
          <w:tcPr/>
          <w:p>
            <w:pPr>
              <w:pStyle w:val="Compact"/>
            </w:pPr>
            <w:r>
              <w:t xml:space="preserve">reported CFR에 sample-wise complex AWGN 적용, clean CFR을 target으로 유지</w:t>
            </w:r>
          </w:p>
        </w:tc>
        <w:tc>
          <w:tcPr/>
          <w:p>
            <w:pPr>
              <w:pStyle w:val="Compact"/>
            </w:pPr>
            <w:r>
              <w:t xml:space="preserve">현재 observation pipeline 선택. 논문 설정이라고 단정하지 않음</w:t>
            </w:r>
          </w:p>
        </w:tc>
      </w:tr>
      <w:tr>
        <w:tc>
          <w:tcPr/>
          <w:p>
            <w:pPr>
              <w:pStyle w:val="Compact"/>
            </w:pPr>
            <w:r>
              <w:t xml:space="preserve">Covariance</w:t>
            </w:r>
          </w:p>
        </w:tc>
        <w:tc>
          <w:tcPr/>
          <w:p>
            <w:pPr>
              <w:pStyle w:val="Compact"/>
            </w:pPr>
            <w:r>
              <w:t xml:space="preserve">full Ψ parameterization의 세부 공개 제한</w:t>
            </w:r>
          </w:p>
        </w:tc>
        <w:tc>
          <w:tcPr/>
          <w:p>
            <w:pPr>
              <w:pStyle w:val="Compact"/>
            </w:pPr>
            <w:r>
              <w:t xml:space="preserve">diagonal-Psi approximation, pair-scalar κ/ν</w:t>
            </w:r>
          </w:p>
        </w:tc>
        <w:tc>
          <w:tcPr/>
          <w:p>
            <w:pPr>
              <w:pStyle w:val="Compact"/>
            </w:pPr>
            <w:r>
              <w:t xml:space="preserve">메모리와 구현 제약을 고려한 근사</w:t>
            </w:r>
          </w:p>
        </w:tc>
      </w:tr>
      <w:tr>
        <w:tc>
          <w:tcPr/>
          <w:p>
            <w:pPr>
              <w:pStyle w:val="Compact"/>
            </w:pPr>
            <w:r>
              <w:t xml:space="preserve">Precision</w:t>
            </w:r>
          </w:p>
        </w:tc>
        <w:tc>
          <w:tcPr/>
          <w:p>
            <w:pPr>
              <w:pStyle w:val="Compact"/>
            </w:pPr>
            <w:r>
              <w:t xml:space="preserve">공개된 mixed-precision 조건 없음</w:t>
            </w:r>
          </w:p>
        </w:tc>
        <w:tc>
          <w:tcPr/>
          <w:p>
            <w:pPr>
              <w:pStyle w:val="Compact"/>
            </w:pPr>
            <w:r>
              <w:t xml:space="preserve">batch400 baseline은 BF16 AMP backbone, evidential transform/loss FP32</w:t>
            </w:r>
          </w:p>
        </w:tc>
        <w:tc>
          <w:tcPr/>
          <w:p>
            <w:pPr>
              <w:pStyle w:val="Compact"/>
            </w:pPr>
            <w:r>
              <w:t xml:space="preserve">GB10 throughput/memory를 위한</w:t>
            </w:r>
            <w:r>
              <w:t xml:space="preserve"> </w:t>
            </w:r>
            <w:r>
              <w:rPr>
                <w:rStyle w:val="VerbatimChar"/>
              </w:rPr>
              <w:t xml:space="preserve">IMPLEMENTATION-ASSUMPTION</w:t>
            </w:r>
          </w:p>
        </w:tc>
      </w:tr>
      <w:tr>
        <w:tc>
          <w:tcPr/>
          <w:p>
            <w:pPr>
              <w:pStyle w:val="Compact"/>
            </w:pPr>
            <w:r>
              <w:t xml:space="preserve">Mask/observation</w:t>
            </w:r>
          </w:p>
        </w:tc>
        <w:tc>
          <w:tcPr/>
          <w:p>
            <w:pPr>
              <w:pStyle w:val="Compact"/>
            </w:pPr>
            <w:r>
              <w:t xml:space="preserve">세부 mask 생성·noise stage 공개 제한</w:t>
            </w:r>
          </w:p>
        </w:tc>
        <w:tc>
          <w:tcPr/>
          <w:p>
            <w:pPr>
              <w:pStyle w:val="Compact"/>
            </w:pPr>
            <w:r>
              <w:t xml:space="preserve">uniform</w:t>
            </w:r>
            <w:r>
              <w:t xml:space="preserve"> </w:t>
            </w:r>
            <w:r>
              <w:rPr>
                <w:rStyle w:val="VerbatimChar"/>
              </w:rPr>
              <w:t xml:space="preserve">Ng=16</w:t>
            </w:r>
            <w:r>
              <w:t xml:space="preserve">, omitted=</w:t>
            </w:r>
            <w:r>
              <w:rPr>
                <w:rStyle w:val="VerbatimChar"/>
              </w:rPr>
              <w:t xml:space="preserve">1-mask</w:t>
            </w:r>
            <w:r>
              <w:t xml:space="preserve">, observed 위치에만 noise</w:t>
            </w:r>
          </w:p>
        </w:tc>
        <w:tc>
          <w:tcPr/>
          <w:p>
            <w:pPr>
              <w:pStyle w:val="Compact"/>
            </w:pPr>
            <w:r>
              <w:t xml:space="preserve">현재 evaluator와 데이터 pipeline의 구현 선택</w:t>
            </w:r>
          </w:p>
        </w:tc>
      </w:tr>
    </w:tbl>
    <w:bookmarkEnd w:id="15"/>
    <w:bookmarkEnd w:id="16"/>
    <w:bookmarkStart w:id="42" w:name="Xb8c3b4e2d829b89211ce5d12fd022d7975dc2c3"/>
    <w:p>
      <w:pPr>
        <w:pStyle w:val="Heading2"/>
      </w:pPr>
      <w:r>
        <w:t xml:space="preserve">3. Baseline 학습 설정 비교 및 최종 선정</w:t>
      </w:r>
    </w:p>
    <w:bookmarkStart w:id="17" w:name="Xf8663bc2c6dfa48c09a2732398f278f8d0a8e56"/>
    <w:p>
      <w:pPr>
        <w:pStyle w:val="Heading3"/>
      </w:pPr>
      <w:r>
        <w:t xml:space="preserve">3.1 왜 Batch Size를 다시 검토했는가</w:t>
      </w:r>
    </w:p>
    <w:p>
      <w:pPr>
        <w:pStyle w:val="FirstParagraph"/>
      </w:pPr>
      <w:r>
        <w:t xml:space="preserve">논문은 batch 4096과 150 epochs를 사용하지만, 현재 NVIDIA GB10에서는 direct batch4096을 실행할 수 없었다. 기존 benchmark에서 FP32 batch4096은 106,505 MiB를 할당한 뒤 추가 3 GiB allocation에서 CUDA OOM이 발생했고, BF16 batch4096도 완료하지 못했다. 따라서 논문 수치를 그대로 실행한 관측 결과는 존재하지 않는다.</w:t>
      </w:r>
    </w:p>
    <w:p>
      <w:pPr>
        <w:pStyle w:val="BodyText"/>
      </w:pPr>
      <w:r>
        <w:t xml:space="preserve">기존 batch8은 초기 재현 과정에서 GPU memory 부담을 낮추고 frequent optimizer update를 확보하기 위한 초기 reference configuration으로 사용되었다. 이는 논문 batch size가 아니라 repository의 experimental choice다. 이후 batch400은 GPU 활용률과 처리량을 높이면서도 direct batch4096보다 충분한 memory margin을 확보하는 operational configuration으로 탐색되었다. 이 이유는 repository의 benchmark와 training log에 근거하며, 역시</w:t>
      </w:r>
      <w:r>
        <w:t xml:space="preserve"> </w:t>
      </w:r>
      <w:r>
        <w:rPr>
          <w:rStyle w:val="VerbatimChar"/>
        </w:rPr>
        <w:t xml:space="preserve">IMPLEMENTATION-ASSUMPTION</w:t>
      </w:r>
      <w:r>
        <w:t xml:space="preserve">이다.</w:t>
      </w:r>
    </w:p>
    <w:p>
      <w:pPr>
        <w:pStyle w:val="BodyText"/>
      </w:pPr>
      <w:r>
        <w:t xml:space="preserve">두 batch를 비교할 때 batch 숫자만 비교할 수 없다. batch8은 optimizer update가 자주 발생하지만 총 step 수와 wall-clock이 커지고, batch400은 step 수를 크게 줄여 GPU throughput을 높인다. 반면 batch 크기와 mixed precision은 evidential parameter가 학습되는 경로와 uncertainty behavior에도 영향을 줄 수 있으므로, reconstruction만으로 winner를 정하지 않았다.</w:t>
      </w:r>
    </w:p>
    <w:bookmarkEnd w:id="17"/>
    <w:bookmarkStart w:id="24" w:name="Xd86c032f9e055a98029c6ec077a65c42e8461a0"/>
    <w:p>
      <w:pPr>
        <w:pStyle w:val="Heading3"/>
      </w:pPr>
      <w:r>
        <w:t xml:space="preserve">3.2 실제 Training Run 비교</w:t>
      </w:r>
    </w:p>
    <w:p>
      <w:pPr>
        <w:pStyle w:val="FirstParagraph"/>
      </w:pPr>
      <w:r>
        <w:t xml:space="preserve">세 run은 모두 100,000 unique CFR을 사용하지만 exposure와 optimizer step 수가 다르다.</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right"/>
            </w:pPr>
            <w:r>
              <w:t xml:space="preserve">unique samples</w:t>
            </w:r>
          </w:p>
        </w:tc>
        <w:tc>
          <w:tcPr/>
          <w:p>
            <w:pPr>
              <w:pStyle w:val="Compact"/>
              <w:jc w:val="right"/>
            </w:pPr>
            <w:r>
              <w:t xml:space="preserve">epochs</w:t>
            </w:r>
          </w:p>
        </w:tc>
        <w:tc>
          <w:tcPr/>
          <w:p>
            <w:pPr>
              <w:pStyle w:val="Compact"/>
              <w:jc w:val="right"/>
            </w:pPr>
            <w:r>
              <w:t xml:space="preserve">batch</w:t>
            </w:r>
          </w:p>
        </w:tc>
        <w:tc>
          <w:tcPr/>
          <w:p>
            <w:pPr>
              <w:pStyle w:val="Compact"/>
            </w:pPr>
            <w:r>
              <w:t xml:space="preserve">precision</w:t>
            </w:r>
          </w:p>
        </w:tc>
        <w:tc>
          <w:tcPr/>
          <w:p>
            <w:pPr>
              <w:pStyle w:val="Compact"/>
              <w:jc w:val="right"/>
            </w:pPr>
            <w:r>
              <w:t xml:space="preserve">total exposure</w:t>
            </w:r>
          </w:p>
        </w:tc>
        <w:tc>
          <w:tcPr/>
          <w:p>
            <w:pPr>
              <w:pStyle w:val="Compact"/>
              <w:jc w:val="right"/>
            </w:pPr>
            <w:r>
              <w:t xml:space="preserve">optimizer steps</w:t>
            </w:r>
          </w:p>
        </w:tc>
        <w:tc>
          <w:tcPr/>
          <w:p>
            <w:pPr>
              <w:pStyle w:val="Compact"/>
              <w:jc w:val="right"/>
            </w:pPr>
            <w:r>
              <w:t xml:space="preserve">actual wall-clock</w:t>
            </w:r>
          </w:p>
        </w:tc>
        <w:tc>
          <w:tcPr/>
          <w:p>
            <w:pPr>
              <w:pStyle w:val="Compact"/>
              <w:jc w:val="right"/>
            </w:pPr>
            <w:r>
              <w:t xml:space="preserve">samples/sec</w:t>
            </w:r>
          </w:p>
        </w:tc>
        <w:tc>
          <w:tcPr/>
          <w:p>
            <w:pPr>
              <w:pStyle w:val="Compact"/>
              <w:jc w:val="right"/>
            </w:pPr>
            <w:r>
              <w:t xml:space="preserve">20 ns NMSE</w:t>
            </w:r>
          </w:p>
        </w:tc>
        <w:tc>
          <w:tcPr/>
          <w:p>
            <w:pPr>
              <w:pStyle w:val="Compact"/>
              <w:jc w:val="right"/>
            </w:pPr>
            <w:r>
              <w:t xml:space="preserve">80 ns NMSE</w:t>
            </w:r>
          </w:p>
        </w:tc>
        <w:tc>
          <w:tcPr/>
          <w:p>
            <w:pPr>
              <w:pStyle w:val="Compact"/>
              <w:jc w:val="right"/>
            </w:pPr>
            <w:r>
              <w:t xml:space="preserve">120 ns NMSE</w:t>
            </w:r>
          </w:p>
        </w:tc>
        <w:tc>
          <w:tcPr/>
          <w:p>
            <w:pPr>
              <w:pStyle w:val="Compact"/>
              <w:jc w:val="right"/>
            </w:pPr>
            <w:r>
              <w:t xml:space="preserve">1 ms NMSE</w:t>
            </w:r>
          </w:p>
        </w:tc>
      </w:tr>
      <w:tr>
        <w:tc>
          <w:tcPr/>
          <w:p>
            <w:pPr>
              <w:pStyle w:val="Compact"/>
              <w:jc w:val="right"/>
            </w:pPr>
            <w:r>
              <w:t xml:space="preserve">100,000</w:t>
            </w:r>
          </w:p>
        </w:tc>
        <w:tc>
          <w:tcPr/>
          <w:p>
            <w:pPr>
              <w:pStyle w:val="Compact"/>
              <w:jc w:val="right"/>
            </w:pPr>
            <w:r>
              <w:t xml:space="preserve">1</w:t>
            </w:r>
          </w:p>
        </w:tc>
        <w:tc>
          <w:tcPr/>
          <w:p>
            <w:pPr>
              <w:pStyle w:val="Compact"/>
              <w:jc w:val="right"/>
            </w:pPr>
            <w:r>
              <w:t xml:space="preserve">8</w:t>
            </w:r>
          </w:p>
        </w:tc>
        <w:tc>
          <w:tcPr/>
          <w:p>
            <w:pPr>
              <w:pStyle w:val="Compact"/>
            </w:pPr>
            <w:r>
              <w:t xml:space="preserve">FP32</w:t>
            </w:r>
          </w:p>
        </w:tc>
        <w:tc>
          <w:tcPr/>
          <w:p>
            <w:pPr>
              <w:pStyle w:val="Compact"/>
              <w:jc w:val="right"/>
            </w:pPr>
            <w:r>
              <w:t xml:space="preserve">100,000</w:t>
            </w:r>
          </w:p>
        </w:tc>
        <w:tc>
          <w:tcPr/>
          <w:p>
            <w:pPr>
              <w:pStyle w:val="Compact"/>
              <w:jc w:val="right"/>
            </w:pPr>
            <w:r>
              <w:t xml:space="preserve">12,500</w:t>
            </w:r>
          </w:p>
        </w:tc>
        <w:tc>
          <w:tcPr/>
          <w:p>
            <w:pPr>
              <w:pStyle w:val="Compact"/>
              <w:jc w:val="right"/>
            </w:pPr>
            <w:r>
              <w:t xml:space="preserve">2,659.9 s (44.3 min)</w:t>
            </w:r>
          </w:p>
        </w:tc>
        <w:tc>
          <w:tcPr/>
          <w:p>
            <w:pPr>
              <w:pStyle w:val="Compact"/>
              <w:jc w:val="right"/>
            </w:pPr>
            <w:r>
              <w:t xml:space="preserve">37.6</w:t>
            </w:r>
          </w:p>
        </w:tc>
        <w:tc>
          <w:tcPr/>
          <w:p>
            <w:pPr>
              <w:pStyle w:val="Compact"/>
              <w:jc w:val="right"/>
            </w:pPr>
            <w:r>
              <w:t xml:space="preserve">-18.977</w:t>
            </w:r>
          </w:p>
        </w:tc>
        <w:tc>
          <w:tcPr/>
          <w:p>
            <w:pPr>
              <w:pStyle w:val="Compact"/>
              <w:jc w:val="right"/>
            </w:pPr>
            <w:r>
              <w:t xml:space="preserve">-17.859</w:t>
            </w:r>
          </w:p>
        </w:tc>
        <w:tc>
          <w:tcPr/>
          <w:p>
            <w:pPr>
              <w:pStyle w:val="Compact"/>
              <w:jc w:val="right"/>
            </w:pPr>
            <w:r>
              <w:t xml:space="preserve">-15.153</w:t>
            </w:r>
          </w:p>
        </w:tc>
        <w:tc>
          <w:tcPr/>
          <w:p>
            <w:pPr>
              <w:pStyle w:val="Compact"/>
              <w:jc w:val="right"/>
            </w:pPr>
            <w:r>
              <w:t xml:space="preserve">1.251</w:t>
            </w:r>
          </w:p>
        </w:tc>
      </w:tr>
      <w:tr>
        <w:tc>
          <w:tcPr/>
          <w:p>
            <w:pPr>
              <w:pStyle w:val="Compact"/>
              <w:jc w:val="right"/>
            </w:pPr>
            <w:r>
              <w:t xml:space="preserve">100,000</w:t>
            </w:r>
          </w:p>
        </w:tc>
        <w:tc>
          <w:tcPr/>
          <w:p>
            <w:pPr>
              <w:pStyle w:val="Compact"/>
              <w:jc w:val="right"/>
            </w:pPr>
            <w:r>
              <w:t xml:space="preserve">5</w:t>
            </w:r>
          </w:p>
        </w:tc>
        <w:tc>
          <w:tcPr/>
          <w:p>
            <w:pPr>
              <w:pStyle w:val="Compact"/>
              <w:jc w:val="right"/>
            </w:pPr>
            <w:r>
              <w:t xml:space="preserve">8</w:t>
            </w:r>
          </w:p>
        </w:tc>
        <w:tc>
          <w:tcPr/>
          <w:p>
            <w:pPr>
              <w:pStyle w:val="Compact"/>
            </w:pPr>
            <w:r>
              <w:t xml:space="preserve">FP32</w:t>
            </w:r>
          </w:p>
        </w:tc>
        <w:tc>
          <w:tcPr/>
          <w:p>
            <w:pPr>
              <w:pStyle w:val="Compact"/>
              <w:jc w:val="right"/>
            </w:pPr>
            <w:r>
              <w:t xml:space="preserve">500,000</w:t>
            </w:r>
          </w:p>
        </w:tc>
        <w:tc>
          <w:tcPr/>
          <w:p>
            <w:pPr>
              <w:pStyle w:val="Compact"/>
              <w:jc w:val="right"/>
            </w:pPr>
            <w:r>
              <w:t xml:space="preserve">62,500</w:t>
            </w:r>
          </w:p>
        </w:tc>
        <w:tc>
          <w:tcPr/>
          <w:p>
            <w:pPr>
              <w:pStyle w:val="Compact"/>
              <w:jc w:val="right"/>
            </w:pPr>
            <w:r>
              <w:t xml:space="preserve">44,054.9 s (12.24 h)</w:t>
            </w:r>
          </w:p>
        </w:tc>
        <w:tc>
          <w:tcPr/>
          <w:p>
            <w:pPr>
              <w:pStyle w:val="Compact"/>
              <w:jc w:val="right"/>
            </w:pPr>
            <w:r>
              <w:t xml:space="preserve">11.4</w:t>
            </w:r>
          </w:p>
        </w:tc>
        <w:tc>
          <w:tcPr/>
          <w:p>
            <w:pPr>
              <w:pStyle w:val="Compact"/>
              <w:jc w:val="right"/>
            </w:pPr>
            <w:r>
              <w:t xml:space="preserve">-21.802</w:t>
            </w:r>
          </w:p>
        </w:tc>
        <w:tc>
          <w:tcPr/>
          <w:p>
            <w:pPr>
              <w:pStyle w:val="Compact"/>
              <w:jc w:val="right"/>
            </w:pPr>
            <w:r>
              <w:t xml:space="preserve">-19.477</w:t>
            </w:r>
          </w:p>
        </w:tc>
        <w:tc>
          <w:tcPr/>
          <w:p>
            <w:pPr>
              <w:pStyle w:val="Compact"/>
              <w:jc w:val="right"/>
            </w:pPr>
            <w:r>
              <w:t xml:space="preserve">-16.468</w:t>
            </w:r>
          </w:p>
        </w:tc>
        <w:tc>
          <w:tcPr/>
          <w:p>
            <w:pPr>
              <w:pStyle w:val="Compact"/>
              <w:jc w:val="right"/>
            </w:pPr>
            <w:r>
              <w:t xml:space="preserve">1.306</w:t>
            </w:r>
          </w:p>
        </w:tc>
      </w:tr>
      <w:tr>
        <w:tc>
          <w:tcPr/>
          <w:p>
            <w:pPr>
              <w:pStyle w:val="Compact"/>
              <w:jc w:val="right"/>
            </w:pPr>
            <w:r>
              <w:t xml:space="preserve">100,000</w:t>
            </w:r>
          </w:p>
        </w:tc>
        <w:tc>
          <w:tcPr/>
          <w:p>
            <w:pPr>
              <w:pStyle w:val="Compact"/>
              <w:jc w:val="right"/>
            </w:pPr>
            <w:r>
              <w:t xml:space="preserve">5</w:t>
            </w:r>
          </w:p>
        </w:tc>
        <w:tc>
          <w:tcPr/>
          <w:p>
            <w:pPr>
              <w:pStyle w:val="Compact"/>
              <w:jc w:val="right"/>
            </w:pPr>
            <w:r>
              <w:t xml:space="preserve">400</w:t>
            </w:r>
          </w:p>
        </w:tc>
        <w:tc>
          <w:tcPr/>
          <w:p>
            <w:pPr>
              <w:pStyle w:val="Compact"/>
            </w:pPr>
            <w:r>
              <w:t xml:space="preserve">BF16 AMP + FP32 evidential</w:t>
            </w:r>
          </w:p>
        </w:tc>
        <w:tc>
          <w:tcPr/>
          <w:p>
            <w:pPr>
              <w:pStyle w:val="Compact"/>
              <w:jc w:val="right"/>
            </w:pPr>
            <w:r>
              <w:t xml:space="preserve">500,000</w:t>
            </w:r>
          </w:p>
        </w:tc>
        <w:tc>
          <w:tcPr/>
          <w:p>
            <w:pPr>
              <w:pStyle w:val="Compact"/>
              <w:jc w:val="right"/>
            </w:pPr>
            <w:r>
              <w:t xml:space="preserve">1,250</w:t>
            </w:r>
          </w:p>
        </w:tc>
        <w:tc>
          <w:tcPr/>
          <w:p>
            <w:pPr>
              <w:pStyle w:val="Compact"/>
              <w:jc w:val="right"/>
            </w:pPr>
            <w:r>
              <w:t xml:space="preserve">5,579 s (93 min)</w:t>
            </w:r>
          </w:p>
        </w:tc>
        <w:tc>
          <w:tcPr/>
          <w:p>
            <w:pPr>
              <w:pStyle w:val="Compact"/>
              <w:jc w:val="right"/>
            </w:pPr>
            <w:r>
              <w:t xml:space="preserve">89.6 actual / 133.9 benchmark</w:t>
            </w:r>
          </w:p>
        </w:tc>
        <w:tc>
          <w:tcPr/>
          <w:p>
            <w:pPr>
              <w:pStyle w:val="Compact"/>
              <w:jc w:val="right"/>
            </w:pPr>
            <w:r>
              <w:t xml:space="preserve">-17.350</w:t>
            </w:r>
          </w:p>
        </w:tc>
        <w:tc>
          <w:tcPr/>
          <w:p>
            <w:pPr>
              <w:pStyle w:val="Compact"/>
              <w:jc w:val="right"/>
            </w:pPr>
            <w:r>
              <w:t xml:space="preserve">-17.094</w:t>
            </w:r>
          </w:p>
        </w:tc>
        <w:tc>
          <w:tcPr/>
          <w:p>
            <w:pPr>
              <w:pStyle w:val="Compact"/>
              <w:jc w:val="right"/>
            </w:pPr>
            <w:r>
              <w:t xml:space="preserve">-15.849</w:t>
            </w:r>
          </w:p>
        </w:tc>
        <w:tc>
          <w:tcPr/>
          <w:p>
            <w:pPr>
              <w:pStyle w:val="Compact"/>
              <w:jc w:val="right"/>
            </w:pPr>
            <w:r>
              <w:t xml:space="preserve">1.416</w:t>
            </w:r>
          </w:p>
        </w:tc>
      </w:tr>
    </w:tbl>
    <w:p>
      <w:pPr>
        <w:pStyle w:val="BodyText"/>
      </w:pPr>
      <w:r>
        <w:t xml:space="preserve">그림 2와 그림 3은 이 비교에 사용한 GPU benchmark를 시각화한다.</w:t>
      </w:r>
    </w:p>
    <w:p>
      <w:pPr>
        <w:pStyle w:val="BodyText"/>
      </w:pPr>
      <w:r>
        <w:drawing>
          <wp:inline>
            <wp:extent cx="5334000" cy="2635623"/>
            <wp:effectExtent b="0" l="0" r="0" t="0"/>
            <wp:docPr descr="Samples/sec benchmark" title="" id="19" name="Picture"/>
            <a:graphic>
              <a:graphicData uri="http://schemas.openxmlformats.org/drawingml/2006/picture">
                <pic:pic>
                  <pic:nvPicPr>
                    <pic:cNvPr descr="figures/batch_samples_per_sec.png" id="20" name="Picture"/>
                    <pic:cNvPicPr>
                      <a:picLocks noChangeArrowheads="1" noChangeAspect="1"/>
                    </pic:cNvPicPr>
                  </pic:nvPicPr>
                  <pic:blipFill>
                    <a:blip r:embed="rId18"/>
                    <a:stretch>
                      <a:fillRect/>
                    </a:stretch>
                  </pic:blipFill>
                  <pic:spPr bwMode="auto">
                    <a:xfrm>
                      <a:off x="0" y="0"/>
                      <a:ext cx="5334000" cy="2635623"/>
                    </a:xfrm>
                    <a:prstGeom prst="rect">
                      <a:avLst/>
                    </a:prstGeom>
                    <a:noFill/>
                    <a:ln w="9525">
                      <a:noFill/>
                      <a:headEnd/>
                      <a:tailEnd/>
                    </a:ln>
                  </pic:spPr>
                </pic:pic>
              </a:graphicData>
            </a:graphic>
          </wp:inline>
        </w:drawing>
      </w:r>
    </w:p>
    <w:p>
      <w:pPr>
        <w:pStyle w:val="BodyText"/>
      </w:pPr>
      <w:r>
        <w:t xml:space="preserve">그림 2. Batch size/precision별 실측 throughput. OOM/failed 조건은 0이 아니라 상태로 표시했다.</w:t>
      </w:r>
    </w:p>
    <w:p>
      <w:pPr>
        <w:pStyle w:val="BodyText"/>
      </w:pPr>
      <w:r>
        <w:drawing>
          <wp:inline>
            <wp:extent cx="5334000" cy="2635623"/>
            <wp:effectExtent b="0" l="0" r="0" t="0"/>
            <wp:docPr descr="Peak memory benchmark" title="" id="22" name="Picture"/>
            <a:graphic>
              <a:graphicData uri="http://schemas.openxmlformats.org/drawingml/2006/picture">
                <pic:pic>
                  <pic:nvPicPr>
                    <pic:cNvPr descr="figures/batch_peak_memory.png" id="23" name="Picture"/>
                    <pic:cNvPicPr>
                      <a:picLocks noChangeArrowheads="1" noChangeAspect="1"/>
                    </pic:cNvPicPr>
                  </pic:nvPicPr>
                  <pic:blipFill>
                    <a:blip r:embed="rId21"/>
                    <a:stretch>
                      <a:fillRect/>
                    </a:stretch>
                  </pic:blipFill>
                  <pic:spPr bwMode="auto">
                    <a:xfrm>
                      <a:off x="0" y="0"/>
                      <a:ext cx="5334000" cy="2635623"/>
                    </a:xfrm>
                    <a:prstGeom prst="rect">
                      <a:avLst/>
                    </a:prstGeom>
                    <a:noFill/>
                    <a:ln w="9525">
                      <a:noFill/>
                      <a:headEnd/>
                      <a:tailEnd/>
                    </a:ln>
                  </pic:spPr>
                </pic:pic>
              </a:graphicData>
            </a:graphic>
          </wp:inline>
        </w:drawing>
      </w:r>
    </w:p>
    <w:p>
      <w:pPr>
        <w:pStyle w:val="BodyText"/>
      </w:pPr>
      <w:r>
        <w:t xml:space="preserve">그림 3. Batch size/precision별 peak allocated GPU memory. 실패한 조건은 memory 수치가 아니라 OOM/failed로 표시했다.</w:t>
      </w:r>
    </w:p>
    <w:p>
      <w:pPr>
        <w:pStyle w:val="BodyText"/>
      </w:pPr>
      <w:r>
        <w:t xml:space="preserve">100k×5 batch8은 reconstruction NMSE만 보면 가장 낮은 값에 도달했지만 약 12시간이 필요했고, batch400 BF16은 약 93분에 완료되었다. 따라서 batch400을 정확도 우승자로 해석할 수는 없으며, uncertainty 품질과 numerical stability를 함께 비교해야 한다.</w:t>
      </w:r>
    </w:p>
    <w:bookmarkEnd w:id="24"/>
    <w:bookmarkStart w:id="25" w:name="Xf97bdfbcefd4e3a982e5a291f7435b52b54be73"/>
    <w:p>
      <w:pPr>
        <w:pStyle w:val="Heading3"/>
      </w:pPr>
      <w:r>
        <w:t xml:space="preserve">3.3 GPU Benchmark와 Batch Size 효율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설정</w:t>
            </w:r>
          </w:p>
        </w:tc>
        <w:tc>
          <w:tcPr/>
          <w:p>
            <w:pPr>
              <w:pStyle w:val="Compact"/>
              <w:jc w:val="right"/>
            </w:pPr>
            <w:r>
              <w:t xml:space="preserve">sec/step</w:t>
            </w:r>
          </w:p>
        </w:tc>
        <w:tc>
          <w:tcPr/>
          <w:p>
            <w:pPr>
              <w:pStyle w:val="Compact"/>
              <w:jc w:val="right"/>
            </w:pPr>
            <w:r>
              <w:t xml:space="preserve">samples/sec</w:t>
            </w:r>
          </w:p>
        </w:tc>
        <w:tc>
          <w:tcPr/>
          <w:p>
            <w:pPr>
              <w:pStyle w:val="Compact"/>
              <w:jc w:val="right"/>
            </w:pPr>
            <w:r>
              <w:t xml:space="preserve">GPU utilization</w:t>
            </w:r>
          </w:p>
        </w:tc>
        <w:tc>
          <w:tcPr/>
          <w:p>
            <w:pPr>
              <w:pStyle w:val="Compact"/>
              <w:jc w:val="right"/>
            </w:pPr>
            <w:r>
              <w:t xml:space="preserve">peak memory</w:t>
            </w:r>
          </w:p>
        </w:tc>
        <w:tc>
          <w:tcPr/>
          <w:p>
            <w:pPr>
              <w:pStyle w:val="Compact"/>
            </w:pPr>
            <w:r>
              <w:t xml:space="preserve">결과</w:t>
            </w:r>
          </w:p>
        </w:tc>
      </w:tr>
      <w:tr>
        <w:tc>
          <w:tcPr/>
          <w:p>
            <w:pPr>
              <w:pStyle w:val="Compact"/>
            </w:pPr>
            <w:r>
              <w:t xml:space="preserve">batch400 FP32</w:t>
            </w:r>
          </w:p>
        </w:tc>
        <w:tc>
          <w:tcPr/>
          <w:p>
            <w:pPr>
              <w:pStyle w:val="Compact"/>
              <w:jc w:val="right"/>
            </w:pPr>
            <w:r>
              <w:t xml:space="preserve">13.734</w:t>
            </w:r>
          </w:p>
        </w:tc>
        <w:tc>
          <w:tcPr/>
          <w:p>
            <w:pPr>
              <w:pStyle w:val="Compact"/>
              <w:jc w:val="right"/>
            </w:pPr>
            <w:r>
              <w:t xml:space="preserve">29.1</w:t>
            </w:r>
          </w:p>
        </w:tc>
        <w:tc>
          <w:tcPr/>
          <w:p>
            <w:pPr>
              <w:pStyle w:val="Compact"/>
              <w:jc w:val="right"/>
            </w:pPr>
            <w:r>
              <w:t xml:space="preserve">94.3%</w:t>
            </w:r>
          </w:p>
        </w:tc>
        <w:tc>
          <w:tcPr/>
          <w:p>
            <w:pPr>
              <w:pStyle w:val="Compact"/>
              <w:jc w:val="right"/>
            </w:pPr>
            <w:r>
              <w:t xml:space="preserve">31.61</w:t>
            </w:r>
          </w:p>
        </w:tc>
        <w:tc>
          <w:tcPr/>
          <w:p>
            <w:pPr>
              <w:pStyle w:val="Compact"/>
            </w:pPr>
            <w:r>
              <w:t xml:space="preserve">성공</w:t>
            </w:r>
          </w:p>
        </w:tc>
      </w:tr>
      <w:tr>
        <w:tc>
          <w:tcPr/>
          <w:p>
            <w:pPr>
              <w:pStyle w:val="Compact"/>
            </w:pPr>
            <w:r>
              <w:t xml:space="preserve">batch400 BF16</w:t>
            </w:r>
          </w:p>
        </w:tc>
        <w:tc>
          <w:tcPr/>
          <w:p>
            <w:pPr>
              <w:pStyle w:val="Compact"/>
              <w:jc w:val="right"/>
            </w:pPr>
            <w:r>
              <w:t xml:space="preserve">2.987</w:t>
            </w:r>
          </w:p>
        </w:tc>
        <w:tc>
          <w:tcPr/>
          <w:p>
            <w:pPr>
              <w:pStyle w:val="Compact"/>
              <w:jc w:val="right"/>
            </w:pPr>
            <w:r>
              <w:t xml:space="preserve">133.9</w:t>
            </w:r>
          </w:p>
        </w:tc>
        <w:tc>
          <w:tcPr/>
          <w:p>
            <w:pPr>
              <w:pStyle w:val="Compact"/>
              <w:jc w:val="right"/>
            </w:pPr>
            <w:r>
              <w:t xml:space="preserve">92.8%</w:t>
            </w:r>
          </w:p>
        </w:tc>
        <w:tc>
          <w:tcPr/>
          <w:p>
            <w:pPr>
              <w:pStyle w:val="Compact"/>
              <w:jc w:val="right"/>
            </w:pPr>
            <w:r>
              <w:t xml:space="preserve">17.23</w:t>
            </w:r>
          </w:p>
        </w:tc>
        <w:tc>
          <w:tcPr/>
          <w:p>
            <w:pPr>
              <w:pStyle w:val="Compact"/>
            </w:pPr>
            <w:r>
              <w:t xml:space="preserve">성공</w:t>
            </w:r>
          </w:p>
        </w:tc>
      </w:tr>
      <w:tr>
        <w:tc>
          <w:tcPr/>
          <w:p>
            <w:pPr>
              <w:pStyle w:val="Compact"/>
            </w:pPr>
            <w:r>
              <w:t xml:space="preserve">batch2048 BF16</w:t>
            </w:r>
          </w:p>
        </w:tc>
        <w:tc>
          <w:tcPr/>
          <w:p>
            <w:pPr>
              <w:pStyle w:val="Compact"/>
              <w:jc w:val="right"/>
            </w:pPr>
            <w:r>
              <w:t xml:space="preserve">21.718</w:t>
            </w:r>
          </w:p>
        </w:tc>
        <w:tc>
          <w:tcPr/>
          <w:p>
            <w:pPr>
              <w:pStyle w:val="Compact"/>
              <w:jc w:val="right"/>
            </w:pPr>
            <w:r>
              <w:t xml:space="preserve">94.3</w:t>
            </w:r>
          </w:p>
        </w:tc>
        <w:tc>
          <w:tcPr/>
          <w:p>
            <w:pPr>
              <w:pStyle w:val="Compact"/>
              <w:jc w:val="right"/>
            </w:pPr>
            <w:r>
              <w:t xml:space="preserve">92.3%</w:t>
            </w:r>
          </w:p>
        </w:tc>
        <w:tc>
          <w:tcPr/>
          <w:p>
            <w:pPr>
              <w:pStyle w:val="Compact"/>
              <w:jc w:val="right"/>
            </w:pPr>
            <w:r>
              <w:t xml:space="preserve">89.65</w:t>
            </w:r>
          </w:p>
        </w:tc>
        <w:tc>
          <w:tcPr/>
          <w:p>
            <w:pPr>
              <w:pStyle w:val="Compact"/>
            </w:pPr>
            <w:r>
              <w:t xml:space="preserve">성공</w:t>
            </w:r>
          </w:p>
        </w:tc>
      </w:tr>
      <w:tr>
        <w:tc>
          <w:tcPr/>
          <w:p>
            <w:pPr>
              <w:pStyle w:val="Compact"/>
            </w:pPr>
            <w:r>
              <w:t xml:space="preserve">batch2432 BF16</w:t>
            </w:r>
          </w:p>
        </w:tc>
        <w:tc>
          <w:tcPr/>
          <w:p>
            <w:pPr>
              <w:pStyle w:val="Compact"/>
              <w:jc w:val="right"/>
            </w:pPr>
            <w:r>
              <w:t xml:space="preserve">25.546</w:t>
            </w:r>
          </w:p>
        </w:tc>
        <w:tc>
          <w:tcPr/>
          <w:p>
            <w:pPr>
              <w:pStyle w:val="Compact"/>
              <w:jc w:val="right"/>
            </w:pPr>
            <w:r>
              <w:t xml:space="preserve">95.2</w:t>
            </w:r>
          </w:p>
        </w:tc>
        <w:tc>
          <w:tcPr/>
          <w:p>
            <w:pPr>
              <w:pStyle w:val="Compact"/>
              <w:jc w:val="right"/>
            </w:pPr>
            <w:r>
              <w:t xml:space="preserve">83.6%</w:t>
            </w:r>
          </w:p>
        </w:tc>
        <w:tc>
          <w:tcPr/>
          <w:p>
            <w:pPr>
              <w:pStyle w:val="Compact"/>
              <w:jc w:val="right"/>
            </w:pPr>
            <w:r>
              <w:t xml:space="preserve">103.94</w:t>
            </w:r>
          </w:p>
        </w:tc>
        <w:tc>
          <w:tcPr/>
          <w:p>
            <w:pPr>
              <w:pStyle w:val="Compact"/>
            </w:pPr>
            <w:r>
              <w:t xml:space="preserve">성공</w:t>
            </w:r>
          </w:p>
        </w:tc>
      </w:tr>
      <w:tr>
        <w:tc>
          <w:tcPr/>
          <w:p>
            <w:pPr>
              <w:pStyle w:val="Compact"/>
            </w:pPr>
            <w:r>
              <w:t xml:space="preserve">batch2496 BF16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failed</w:t>
            </w:r>
          </w:p>
        </w:tc>
      </w:tr>
      <w:tr>
        <w:tc>
          <w:tcPr/>
          <w:p>
            <w:pPr>
              <w:pStyle w:val="Compact"/>
            </w:pPr>
            <w:r>
              <w:t xml:space="preserve">batch4096 FP32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OOM</w:t>
            </w:r>
          </w:p>
        </w:tc>
      </w:tr>
      <w:tr>
        <w:tc>
          <w:tcPr/>
          <w:p>
            <w:pPr>
              <w:pStyle w:val="Compact"/>
            </w:pPr>
            <w:r>
              <w:t xml:space="preserve">batch4096 BF16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failed</w:t>
            </w:r>
          </w:p>
        </w:tc>
      </w:tr>
    </w:tbl>
    <w:p>
      <w:pPr>
        <w:pStyle w:val="BodyText"/>
      </w:pPr>
      <w:r>
        <w:t xml:space="preserve">batch400 BF16은 2.987 sec/step, 133.9 samples/s benchmark throughput, GPU utilization 92.8%, peak allocated 17.22 GiB였다. batch2048 BF16은 21.7183 sec/step, 약 94.3 samples/s, GPU utilization 약 92.3%, peak memory 89.65 GiB였다. 더 큰 batch가 samples/sec를 높이지 않은 것은 실제 benchmark에서 확인된 사실이며, 이 결과만으로 원인을 단정하지 않는다. 즉 현재 모델·입력·메모리 경로에서는 batch가 커질수록 반드시 효율이 증가하지 않는다.</w:t>
      </w:r>
    </w:p>
    <w:bookmarkEnd w:id="25"/>
    <w:bookmarkStart w:id="26" w:name="X313359089e081155756883013c4cd2ffbfc94b7"/>
    <w:p>
      <w:pPr>
        <w:pStyle w:val="Heading3"/>
      </w:pPr>
      <w:r>
        <w:t xml:space="preserve">3.4 논문 Scale Training이 왜 2일 이상 필요한가</w:t>
      </w:r>
    </w:p>
    <w:p>
      <w:pPr>
        <w:pStyle w:val="FirstParagraph"/>
      </w:pPr>
      <w:r>
        <w:t xml:space="preserve">논문 설정에서</w:t>
      </w:r>
      <w:r>
        <w:t xml:space="preserve"> </w:t>
      </w:r>
      <w:r>
        <w:rPr>
          <w:rStyle w:val="VerbatimChar"/>
        </w:rPr>
        <w:t xml:space="preserve">drop_last=False</w:t>
      </w:r>
      <w:r>
        <w:t xml:space="preserve">라면 다음과 같다.</w:t>
      </w:r>
    </w:p>
    <w:p>
      <w:pPr>
        <w:pStyle w:val="BodyText"/>
      </w:pPr>
      <m:oMathPara>
        <m:oMathParaPr>
          <m:jc m:val="center"/>
        </m:oMathParaPr>
        <m:oMath>
          <m:d>
            <m:dPr>
              <m:begChr m:val="⌈"/>
              <m:sepChr m:val=""/>
              <m:endChr m:val="⌉"/>
              <m:grow/>
            </m:dPr>
            <m:e>
              <m:f>
                <m:fPr>
                  <m:type m:val="bar"/>
                </m:fPr>
                <m:num>
                  <m:r>
                    <m:t>100000</m:t>
                  </m:r>
                </m:num>
                <m:den>
                  <m:r>
                    <m:t>4096</m:t>
                  </m:r>
                </m:den>
              </m:f>
            </m:e>
          </m:d>
          <m:r>
            <m:rPr>
              <m:sty m:val="p"/>
            </m:rPr>
            <m:t>=</m:t>
          </m:r>
          <m:r>
            <m:t>25</m:t>
          </m:r>
          <m:r>
            <m:rPr>
              <m:nor/>
              <m:sty m:val="p"/>
            </m:rPr>
            <m:t> steps/epoch</m:t>
          </m:r>
        </m:oMath>
      </m:oMathPara>
    </w:p>
    <w:p>
      <w:pPr>
        <w:pStyle w:val="FirstParagraph"/>
      </w:pPr>
      <m:oMathPara>
        <m:oMathParaPr>
          <m:jc m:val="center"/>
        </m:oMathParaPr>
        <m:oMath>
          <m:r>
            <m:t>25</m:t>
          </m:r>
          <m:r>
            <m:rPr>
              <m:sty m:val="p"/>
            </m:rPr>
            <m:t>×</m:t>
          </m:r>
          <m:r>
            <m:t>150</m:t>
          </m:r>
          <m:r>
            <m:rPr>
              <m:sty m:val="p"/>
            </m:rPr>
            <m:t>=</m:t>
          </m:r>
          <m:r>
            <m:t>3750</m:t>
          </m:r>
          <m:r>
            <m:rPr>
              <m:nor/>
              <m:sty m:val="p"/>
            </m:rPr>
            <m:t> optimizer steps</m:t>
          </m:r>
        </m:oMath>
      </m:oMathPara>
    </w:p>
    <w:p>
      <w:pPr>
        <w:pStyle w:val="FirstParagraph"/>
      </w:pPr>
      <m:oMathPara>
        <m:oMathParaPr>
          <m:jc m:val="center"/>
        </m:oMathParaPr>
        <m:oMath>
          <m:r>
            <m:t>100000</m:t>
          </m:r>
          <m:r>
            <m:rPr>
              <m:sty m:val="p"/>
            </m:rPr>
            <m:t>×</m:t>
          </m:r>
          <m:r>
            <m:t>150</m:t>
          </m:r>
          <m:r>
            <m:rPr>
              <m:sty m:val="p"/>
            </m:rPr>
            <m:t>=</m:t>
          </m:r>
          <m:r>
            <m:t>15</m:t>
          </m:r>
          <m:r>
            <m:rPr>
              <m:sty m:val="p"/>
            </m:rPr>
            <m:t>,</m:t>
          </m:r>
          <m:r>
            <m:t>000</m:t>
          </m:r>
          <m:r>
            <m:rPr>
              <m:sty m:val="p"/>
            </m:rPr>
            <m:t>,</m:t>
          </m:r>
          <m:r>
            <m:t>000</m:t>
          </m:r>
          <m:r>
            <m:rPr>
              <m:nor/>
              <m:sty m:val="p"/>
            </m:rPr>
            <m:t> sample exposure</m:t>
          </m:r>
        </m:oMath>
      </m:oMathPara>
    </w:p>
    <w:p>
      <w:pPr>
        <w:pStyle w:val="FirstParagraph"/>
      </w:pPr>
      <w:r>
        <w:t xml:space="preserve">하지만 direct batch4096은 현재 GB10에서 FP32 CUDA OOM이고, BF16도 안정적으로 완료되지 않았다. 현실적인 대안으로 batch2048과 gradient accumulation 2를 가정하면, 한 epoch의 microstep은 다음과 같다.</w:t>
      </w:r>
    </w:p>
    <w:p>
      <w:pPr>
        <w:pStyle w:val="BodyText"/>
      </w:pPr>
      <m:oMathPara>
        <m:oMathParaPr>
          <m:jc m:val="center"/>
        </m:oMathParaPr>
        <m:oMath>
          <m:d>
            <m:dPr>
              <m:begChr m:val="⌈"/>
              <m:sepChr m:val=""/>
              <m:endChr m:val="⌉"/>
              <m:grow/>
            </m:dPr>
            <m:e>
              <m:f>
                <m:fPr>
                  <m:type m:val="bar"/>
                </m:fPr>
                <m:num>
                  <m:r>
                    <m:t>100000</m:t>
                  </m:r>
                </m:num>
                <m:den>
                  <m:r>
                    <m:t>2048</m:t>
                  </m:r>
                </m:den>
              </m:f>
            </m:e>
          </m:d>
          <m:r>
            <m:rPr>
              <m:sty m:val="p"/>
            </m:rPr>
            <m:t>=</m:t>
          </m:r>
          <m:r>
            <m:t>49</m:t>
          </m:r>
          <m:r>
            <m:rPr>
              <m:nor/>
              <m:sty m:val="p"/>
            </m:rPr>
            <m:t> microsteps/epoch</m:t>
          </m:r>
        </m:oMath>
      </m:oMathPara>
    </w:p>
    <w:p>
      <w:pPr>
        <w:pStyle w:val="FirstParagraph"/>
      </w:pPr>
      <m:oMathPara>
        <m:oMathParaPr>
          <m:jc m:val="center"/>
        </m:oMathParaPr>
        <m:oMath>
          <m:r>
            <m:t>49</m:t>
          </m:r>
          <m:r>
            <m:rPr>
              <m:sty m:val="p"/>
            </m:rPr>
            <m:t>×</m:t>
          </m:r>
          <m:r>
            <m:t>150</m:t>
          </m:r>
          <m:r>
            <m:rPr>
              <m:sty m:val="p"/>
            </m:rPr>
            <m:t>=</m:t>
          </m:r>
          <m:r>
            <m:t>7350</m:t>
          </m:r>
          <m:r>
            <m:rPr>
              <m:nor/>
              <m:sty m:val="p"/>
            </m:rPr>
            <m:t> microsteps</m:t>
          </m:r>
        </m:oMath>
      </m:oMathPara>
    </w:p>
    <w:p>
      <w:pPr>
        <w:pStyle w:val="FirstParagraph"/>
      </w:pPr>
      <w:r>
        <w:t xml:space="preserve">기존 benchmark의 batch2048 BF16 평균</w:t>
      </w:r>
      <w:r>
        <w:t xml:space="preserve"> </w:t>
      </w:r>
      <w:r>
        <w:rPr>
          <w:rStyle w:val="VerbatimChar"/>
        </w:rPr>
        <w:t xml:space="preserve">21.7183 sec/microstep</w:t>
      </w:r>
      <w:r>
        <w:t xml:space="preserve">을 적용하면,</w:t>
      </w:r>
    </w:p>
    <w:p>
      <w:pPr>
        <w:pStyle w:val="BodyText"/>
      </w:pPr>
      <m:oMathPara>
        <m:oMathParaPr>
          <m:jc m:val="center"/>
        </m:oMathParaPr>
        <m:oMath>
          <m:r>
            <m:t>7350</m:t>
          </m:r>
          <m:r>
            <m:rPr>
              <m:sty m:val="p"/>
            </m:rPr>
            <m:t>×</m:t>
          </m:r>
          <m:r>
            <m:t>21.7183</m:t>
          </m:r>
          <m:r>
            <m:rPr>
              <m:sty m:val="p"/>
            </m:rPr>
            <m:t>=</m:t>
          </m:r>
          <m:r>
            <m:t>159</m:t>
          </m:r>
          <m:r>
            <m:rPr>
              <m:sty m:val="p"/>
            </m:rPr>
            <m:t>,</m:t>
          </m:r>
          <m:r>
            <m:t>629.5</m:t>
          </m:r>
          <m:r>
            <m:rPr>
              <m:nor/>
              <m:sty m:val="p"/>
            </m:rPr>
            <m:t> sec</m:t>
          </m:r>
          <m:r>
            <m:rPr>
              <m:sty m:val="p"/>
            </m:rPr>
            <m:t>≈</m:t>
          </m:r>
          <m:r>
            <m:t>44.3</m:t>
          </m:r>
          <m:r>
            <m:rPr>
              <m:nor/>
              <m:sty m:val="p"/>
            </m:rPr>
            <m:t> h</m:t>
          </m:r>
        </m:oMath>
      </m:oMathPara>
    </w:p>
    <w:p>
      <w:pPr>
        <w:pStyle w:val="FirstParagraph"/>
      </w:pPr>
      <w:r>
        <w:t xml:space="preserve">이다. Validation, checkpoint, logging, evaluator overhead를 포함하면 약 46–50시간으로 보는 것이 타당하다. 장시간 실행 변동과 재시작 여유까지 고려하면 운영상 2–3일 규모의 실험이다. 이 계산은 OOD가 발생할 때마다 수행하는 online adaptation 시간이 아니라, 논문 규모의 initial/offline predictor training 비용이다. 또한 gradient accumulation은 effective batch4096을 구성할 수 있지만 direct batch4096과 optimizer update, noise/mask draw, gradient averaging이 완전히 같지 않으므로</w:t>
      </w:r>
      <w:r>
        <w:t xml:space="preserve"> </w:t>
      </w:r>
      <w:r>
        <w:rPr>
          <w:rStyle w:val="VerbatimChar"/>
        </w:rPr>
        <w:t xml:space="preserve">IMPLEMENTATION-ASSUMPTION</w:t>
      </w:r>
      <w:r>
        <w:t xml:space="preserve">이다.</w:t>
      </w:r>
    </w:p>
    <w:bookmarkEnd w:id="26"/>
    <w:bookmarkStart w:id="33" w:name="Xee19665545d3021ccd1b8bc088560f35c382d37"/>
    <w:p>
      <w:pPr>
        <w:pStyle w:val="Heading3"/>
      </w:pPr>
      <w:r>
        <w:t xml:space="preserve">3.5 Fig.8 기준 Epistemic OOD 분리 성능 비교</w:t>
      </w:r>
    </w:p>
    <w:p>
      <w:pPr>
        <w:pStyle w:val="FirstParagraph"/>
      </w:pPr>
      <w:r>
        <w:t xml:space="preserve">세 baseline의 Fig.8 비교는 기존 10,000-sample/regime artifact를 우선 사용했다. batch8 두 모델은</w:t>
      </w:r>
      <w:r>
        <w:t xml:space="preserve"> </w:t>
      </w:r>
      <w:r>
        <w:rPr>
          <w:rStyle w:val="VerbatimChar"/>
        </w:rPr>
        <w:t xml:space="preserve">matched_fig8_fig9_comparison_10k_v3</w:t>
      </w:r>
      <w:r>
        <w:t xml:space="preserve">, batch400 BF16은</w:t>
      </w:r>
      <w:r>
        <w:t xml:space="preserve"> </w:t>
      </w:r>
      <w:r>
        <w:rPr>
          <w:rStyle w:val="VerbatimChar"/>
        </w:rPr>
        <w:t xml:space="preserve">evaluation_streaming_v5</w:t>
      </w:r>
      <w:r>
        <w:t xml:space="preserve">에서 생성되었다. score 정의는 기존 Eq.(7),(8),(12),(13) evaluator이고, batch8의 raw per-sample distribution은 보존되어 있지 않아 그림 4는 저장된 mean/std 기반 summary-derived density다. 따라서 새로운 evaluator 실행이나 재학습은 하지 않았다.</w:t>
      </w:r>
    </w:p>
    <w:p>
      <w:pPr>
        <w:pStyle w:val="BodyText"/>
      </w:pPr>
      <w:r>
        <w:drawing>
          <wp:inline>
            <wp:extent cx="5334000" cy="1519207"/>
            <wp:effectExtent b="0" l="0" r="0" t="0"/>
            <wp:docPr descr="Fig8 density" title="" id="28" name="Picture"/>
            <a:graphic>
              <a:graphicData uri="http://schemas.openxmlformats.org/drawingml/2006/picture">
                <pic:pic>
                  <pic:nvPicPr>
                    <pic:cNvPr descr="figures/fig8_epistemic_baseline_comparison.png" id="29" name="Picture"/>
                    <pic:cNvPicPr>
                      <a:picLocks noChangeArrowheads="1" noChangeAspect="1"/>
                    </pic:cNvPicPr>
                  </pic:nvPicPr>
                  <pic:blipFill>
                    <a:blip r:embed="rId27"/>
                    <a:stretch>
                      <a:fillRect/>
                    </a:stretch>
                  </pic:blipFill>
                  <pic:spPr bwMode="auto">
                    <a:xfrm>
                      <a:off x="0" y="0"/>
                      <a:ext cx="5334000" cy="1519207"/>
                    </a:xfrm>
                    <a:prstGeom prst="rect">
                      <a:avLst/>
                    </a:prstGeom>
                    <a:noFill/>
                    <a:ln w="9525">
                      <a:noFill/>
                      <a:headEnd/>
                      <a:tailEnd/>
                    </a:ln>
                  </pic:spPr>
                </pic:pic>
              </a:graphicData>
            </a:graphic>
          </wp:inline>
        </w:drawing>
      </w:r>
    </w:p>
    <w:p>
      <w:pPr>
        <w:pStyle w:val="BodyText"/>
      </w:pPr>
      <w:r>
        <w:t xml:space="preserve">그림 4. 세 baseline의 Epistemic density 비교. 모든 panel의 축을 동일하게 맞췄으며, batch8 비교 artifact의 mean/std를 이용한 요약 분포다. 100k×5 batch8 OOD-Far는 ν/inf로 N/A 처리했다.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baseline</w:t>
            </w:r>
          </w:p>
        </w:tc>
        <w:tc>
          <w:tcPr/>
          <w:p>
            <w:pPr>
              <w:pStyle w:val="Compact"/>
              <w:jc w:val="right"/>
            </w:pPr>
            <w:r>
              <w:t xml:space="preserve">ID→Near AUROC</w:t>
            </w:r>
          </w:p>
        </w:tc>
        <w:tc>
          <w:tcPr/>
          <w:p>
            <w:pPr>
              <w:pStyle w:val="Compact"/>
              <w:jc w:val="right"/>
            </w:pPr>
            <w:r>
              <w:t xml:space="preserve">ID→Far AUROC</w:t>
            </w:r>
          </w:p>
        </w:tc>
        <w:tc>
          <w:tcPr/>
          <w:p>
            <w:pPr>
              <w:pStyle w:val="Compact"/>
              <w:jc w:val="right"/>
            </w:pPr>
            <w:r>
              <w:t xml:space="preserve">pooled ID→OOD AUROC</w:t>
            </w:r>
          </w:p>
        </w:tc>
      </w:tr>
      <w:tr>
        <w:tc>
          <w:tcPr/>
          <w:p>
            <w:pPr>
              <w:pStyle w:val="Compact"/>
            </w:pPr>
            <w:r>
              <w:t xml:space="preserve">100k×1 batch8 FP32</w:t>
            </w:r>
          </w:p>
        </w:tc>
        <w:tc>
          <w:tcPr/>
          <w:p>
            <w:pPr>
              <w:pStyle w:val="Compact"/>
              <w:jc w:val="right"/>
            </w:pPr>
            <w:r>
              <w:t xml:space="preserve">0.621</w:t>
            </w:r>
          </w:p>
        </w:tc>
        <w:tc>
          <w:tcPr/>
          <w:p>
            <w:pPr>
              <w:pStyle w:val="Compact"/>
              <w:jc w:val="right"/>
            </w:pPr>
            <w:r>
              <w:t xml:space="preserve">0.997</w:t>
            </w:r>
          </w:p>
        </w:tc>
        <w:tc>
          <w:tcPr/>
          <w:p>
            <w:pPr>
              <w:pStyle w:val="Compact"/>
              <w:jc w:val="right"/>
            </w:pPr>
            <w:r>
              <w:t xml:space="preserve">0.809</w:t>
            </w:r>
          </w:p>
        </w:tc>
      </w:tr>
      <w:tr>
        <w:tc>
          <w:tcPr/>
          <w:p>
            <w:pPr>
              <w:pStyle w:val="Compact"/>
            </w:pPr>
            <w:r>
              <w:t xml:space="preserve">100k×5 batch8 FP32</w:t>
            </w:r>
          </w:p>
        </w:tc>
        <w:tc>
          <w:tcPr/>
          <w:p>
            <w:pPr>
              <w:pStyle w:val="Compact"/>
              <w:jc w:val="right"/>
            </w:pPr>
            <w:r>
              <w:t xml:space="preserve">0.948</w:t>
            </w:r>
          </w:p>
        </w:tc>
        <w:tc>
          <w:tcPr/>
          <w:p>
            <w:pPr>
              <w:pStyle w:val="Compact"/>
              <w:jc w:val="right"/>
            </w:pPr>
            <w:r>
              <w:t xml:space="preserve">N/A (ν/inf)</w:t>
            </w:r>
          </w:p>
        </w:tc>
        <w:tc>
          <w:tcPr/>
          <w:p>
            <w:pPr>
              <w:pStyle w:val="Compact"/>
              <w:jc w:val="right"/>
            </w:pPr>
            <w:r>
              <w:t xml:space="preserve">N/A (ν/inf)</w:t>
            </w:r>
          </w:p>
        </w:tc>
      </w:tr>
      <w:tr>
        <w:tc>
          <w:tcPr/>
          <w:p>
            <w:pPr>
              <w:pStyle w:val="Compact"/>
            </w:pPr>
            <w:r>
              <w:t xml:space="preserve">100k×5 batch400 BF16</w:t>
            </w:r>
          </w:p>
        </w:tc>
        <w:tc>
          <w:tcPr/>
          <w:p>
            <w:pPr>
              <w:pStyle w:val="Compact"/>
              <w:jc w:val="right"/>
            </w:pPr>
            <w:r>
              <w:t xml:space="preserve">0.542</w:t>
            </w:r>
          </w:p>
        </w:tc>
        <w:tc>
          <w:tcPr/>
          <w:p>
            <w:pPr>
              <w:pStyle w:val="Compact"/>
              <w:jc w:val="right"/>
            </w:pPr>
            <w:r>
              <w:t xml:space="preserve">0.803</w:t>
            </w:r>
          </w:p>
        </w:tc>
        <w:tc>
          <w:tcPr/>
          <w:p>
            <w:pPr>
              <w:pStyle w:val="Compact"/>
              <w:jc w:val="right"/>
            </w:pPr>
            <w:r>
              <w:t xml:space="preserve">0.673</w:t>
            </w:r>
          </w:p>
        </w:tc>
      </w:tr>
    </w:tbl>
    <w:p>
      <w:pPr>
        <w:pStyle w:val="BodyText"/>
      </w:pPr>
      <w:r>
        <w:drawing>
          <wp:inline>
            <wp:extent cx="5334000" cy="2763397"/>
            <wp:effectExtent b="0" l="0" r="0" t="0"/>
            <wp:docPr descr="Fig8 AUROC" title="" id="31" name="Picture"/>
            <a:graphic>
              <a:graphicData uri="http://schemas.openxmlformats.org/drawingml/2006/picture">
                <pic:pic>
                  <pic:nvPicPr>
                    <pic:cNvPr descr="figures/fig8_auroc_comparison.png" id="32" name="Picture"/>
                    <pic:cNvPicPr>
                      <a:picLocks noChangeArrowheads="1" noChangeAspect="1"/>
                    </pic:cNvPicPr>
                  </pic:nvPicPr>
                  <pic:blipFill>
                    <a:blip r:embed="rId30"/>
                    <a:stretch>
                      <a:fillRect/>
                    </a:stretch>
                  </pic:blipFill>
                  <pic:spPr bwMode="auto">
                    <a:xfrm>
                      <a:off x="0" y="0"/>
                      <a:ext cx="5334000" cy="2763397"/>
                    </a:xfrm>
                    <a:prstGeom prst="rect">
                      <a:avLst/>
                    </a:prstGeom>
                    <a:noFill/>
                    <a:ln w="9525">
                      <a:noFill/>
                      <a:headEnd/>
                      <a:tailEnd/>
                    </a:ln>
                  </pic:spPr>
                </pic:pic>
              </a:graphicData>
            </a:graphic>
          </wp:inline>
        </w:drawing>
      </w:r>
    </w:p>
    <w:p>
      <w:pPr>
        <w:pStyle w:val="BodyText"/>
      </w:pPr>
      <w:r>
        <w:t xml:space="preserve">그림 5. Fig.8 AUROC 비교. N/A는 0이 아니라 기존 artifact의 ν/inf numerical failure를 뜻한다.</w:t>
      </w:r>
    </w:p>
    <w:p>
      <w:pPr>
        <w:pStyle w:val="BodyText"/>
      </w:pPr>
      <w:r>
        <w:t xml:space="preserve">100k×1 batch8은 Near 0.621, Far 0.997, pooled 0.809로 전체적으로 안정적인 uncertainty baseline이었다. 100k×5 batch8은 Near separation이 0.948로 크게 좋아졌지만 Far 및 pooled 값은 ν/inf 때문에 유효한 비교값으로 사용할 수 없다. batch400 BF16은 모든 주요 값이 finite하고 빠르게 평가되었지만 Near 0.542, Far 0.803, pooled 0.673으로 Near-OOD separation이 약했다. 따라서 batch400을 uncertainty 성능 최고 baseline으로 해석해서는 안 된다.</w:t>
      </w:r>
    </w:p>
    <w:bookmarkEnd w:id="33"/>
    <w:bookmarkStart w:id="40" w:name="X5fc41ac87f536b858a0ab128cf0be9510dd8f69"/>
    <w:p>
      <w:pPr>
        <w:pStyle w:val="Heading3"/>
      </w:pPr>
      <w:r>
        <w:t xml:space="preserve">3.6 Fig.9 Calibration 비교</w:t>
      </w:r>
    </w:p>
    <w:p>
      <w:pPr>
        <w:pStyle w:val="FirstParagraph"/>
      </w:pPr>
      <w:r>
        <w:t xml:space="preserve">Fig.9도 동일하게 기존 10k artifact를 사용했다. calibration plot은 nominal coverage와 empirical coverage를 각각 0–1로 고정하고 동일 aspect ratio로 표시했다.</w:t>
      </w:r>
    </w:p>
    <w:p>
      <w:pPr>
        <w:pStyle w:val="BodyText"/>
      </w:pPr>
      <w:r>
        <w:drawing>
          <wp:inline>
            <wp:extent cx="5334000" cy="1986893"/>
            <wp:effectExtent b="0" l="0" r="0" t="0"/>
            <wp:docPr descr="Fig9 curves" title="" id="35" name="Picture"/>
            <a:graphic>
              <a:graphicData uri="http://schemas.openxmlformats.org/drawingml/2006/picture">
                <pic:pic>
                  <pic:nvPicPr>
                    <pic:cNvPr descr="figures/fig9_calibration_curves.png" id="36" name="Picture"/>
                    <pic:cNvPicPr>
                      <a:picLocks noChangeArrowheads="1" noChangeAspect="1"/>
                    </pic:cNvPicPr>
                  </pic:nvPicPr>
                  <pic:blipFill>
                    <a:blip r:embed="rId34"/>
                    <a:stretch>
                      <a:fillRect/>
                    </a:stretch>
                  </pic:blipFill>
                  <pic:spPr bwMode="auto">
                    <a:xfrm>
                      <a:off x="0" y="0"/>
                      <a:ext cx="5334000" cy="1986893"/>
                    </a:xfrm>
                    <a:prstGeom prst="rect">
                      <a:avLst/>
                    </a:prstGeom>
                    <a:noFill/>
                    <a:ln w="9525">
                      <a:noFill/>
                      <a:headEnd/>
                      <a:tailEnd/>
                    </a:ln>
                  </pic:spPr>
                </pic:pic>
              </a:graphicData>
            </a:graphic>
          </wp:inline>
        </w:drawing>
      </w:r>
    </w:p>
    <w:p>
      <w:pPr>
        <w:pStyle w:val="BodyText"/>
      </w:pPr>
      <w:r>
        <w:t xml:space="preserve">그림 6. 세 baseline의 ID/Near/Far/OOD-pooled calibration curve. 대각선은 ideal coverage다.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baseline</w:t>
            </w:r>
          </w:p>
        </w:tc>
        <w:tc>
          <w:tcPr/>
          <w:p>
            <w:pPr>
              <w:pStyle w:val="Compact"/>
              <w:jc w:val="right"/>
            </w:pPr>
            <w:r>
              <w:t xml:space="preserve">ID CE/MAE</w:t>
            </w:r>
          </w:p>
        </w:tc>
        <w:tc>
          <w:tcPr/>
          <w:p>
            <w:pPr>
              <w:pStyle w:val="Compact"/>
              <w:jc w:val="right"/>
            </w:pPr>
            <w:r>
              <w:t xml:space="preserve">Near CE/MAE</w:t>
            </w:r>
          </w:p>
        </w:tc>
        <w:tc>
          <w:tcPr/>
          <w:p>
            <w:pPr>
              <w:pStyle w:val="Compact"/>
              <w:jc w:val="right"/>
            </w:pPr>
            <w:r>
              <w:t xml:space="preserve">Far CE/MAE</w:t>
            </w:r>
          </w:p>
        </w:tc>
        <w:tc>
          <w:tcPr/>
          <w:p>
            <w:pPr>
              <w:pStyle w:val="Compact"/>
              <w:jc w:val="right"/>
            </w:pPr>
            <w:r>
              <w:t xml:space="preserve">pooled OOD CE/MAE</w:t>
            </w:r>
          </w:p>
        </w:tc>
      </w:tr>
      <w:tr>
        <w:tc>
          <w:tcPr/>
          <w:p>
            <w:pPr>
              <w:pStyle w:val="Compact"/>
            </w:pPr>
            <w:r>
              <w:t xml:space="preserve">100k×1 batch8 FP32</w:t>
            </w:r>
          </w:p>
        </w:tc>
        <w:tc>
          <w:tcPr/>
          <w:p>
            <w:pPr>
              <w:pStyle w:val="Compact"/>
              <w:jc w:val="right"/>
            </w:pPr>
            <w:r>
              <w:t xml:space="preserve">0.009</w:t>
            </w:r>
          </w:p>
        </w:tc>
        <w:tc>
          <w:tcPr/>
          <w:p>
            <w:pPr>
              <w:pStyle w:val="Compact"/>
              <w:jc w:val="right"/>
            </w:pPr>
            <w:r>
              <w:t xml:space="preserve">0.117</w:t>
            </w:r>
          </w:p>
        </w:tc>
        <w:tc>
          <w:tcPr/>
          <w:p>
            <w:pPr>
              <w:pStyle w:val="Compact"/>
              <w:jc w:val="right"/>
            </w:pPr>
            <w:r>
              <w:t xml:space="preserve">0.656</w:t>
            </w:r>
          </w:p>
        </w:tc>
        <w:tc>
          <w:tcPr/>
          <w:p>
            <w:pPr>
              <w:pStyle w:val="Compact"/>
              <w:jc w:val="right"/>
            </w:pPr>
            <w:r>
              <w:t xml:space="preserve">0.386</w:t>
            </w:r>
          </w:p>
        </w:tc>
      </w:tr>
      <w:tr>
        <w:tc>
          <w:tcPr/>
          <w:p>
            <w:pPr>
              <w:pStyle w:val="Compact"/>
            </w:pPr>
            <w:r>
              <w:t xml:space="preserve">100k×5 batch8 FP32</w:t>
            </w:r>
          </w:p>
        </w:tc>
        <w:tc>
          <w:tcPr/>
          <w:p>
            <w:pPr>
              <w:pStyle w:val="Compact"/>
              <w:jc w:val="right"/>
            </w:pPr>
            <w:r>
              <w:t xml:space="preserve">0.001</w:t>
            </w:r>
          </w:p>
        </w:tc>
        <w:tc>
          <w:tcPr/>
          <w:p>
            <w:pPr>
              <w:pStyle w:val="Compact"/>
              <w:jc w:val="right"/>
            </w:pPr>
            <w:r>
              <w:t xml:space="preserve">0.085</w:t>
            </w:r>
          </w:p>
        </w:tc>
        <w:tc>
          <w:tcPr/>
          <w:p>
            <w:pPr>
              <w:pStyle w:val="Compact"/>
              <w:jc w:val="right"/>
            </w:pPr>
            <w:r>
              <w:t xml:space="preserve">N/A (ν/inf)</w:t>
            </w:r>
          </w:p>
        </w:tc>
        <w:tc>
          <w:tcPr/>
          <w:p>
            <w:pPr>
              <w:pStyle w:val="Compact"/>
              <w:jc w:val="right"/>
            </w:pPr>
            <w:r>
              <w:t xml:space="preserve">N/A (ν/inf)</w:t>
            </w:r>
          </w:p>
        </w:tc>
      </w:tr>
      <w:tr>
        <w:tc>
          <w:tcPr/>
          <w:p>
            <w:pPr>
              <w:pStyle w:val="Compact"/>
            </w:pPr>
            <w:r>
              <w:t xml:space="preserve">100k×5 batch400 BF16</w:t>
            </w:r>
          </w:p>
        </w:tc>
        <w:tc>
          <w:tcPr/>
          <w:p>
            <w:pPr>
              <w:pStyle w:val="Compact"/>
              <w:jc w:val="right"/>
            </w:pPr>
            <w:r>
              <w:t xml:space="preserve">0.270</w:t>
            </w:r>
          </w:p>
        </w:tc>
        <w:tc>
          <w:tcPr/>
          <w:p>
            <w:pPr>
              <w:pStyle w:val="Compact"/>
              <w:jc w:val="right"/>
            </w:pPr>
            <w:r>
              <w:t xml:space="preserve">0.241</w:t>
            </w:r>
          </w:p>
        </w:tc>
        <w:tc>
          <w:tcPr/>
          <w:p>
            <w:pPr>
              <w:pStyle w:val="Compact"/>
              <w:jc w:val="right"/>
            </w:pPr>
            <w:r>
              <w:t xml:space="preserve">0.292</w:t>
            </w:r>
          </w:p>
        </w:tc>
        <w:tc>
          <w:tcPr/>
          <w:p>
            <w:pPr>
              <w:pStyle w:val="Compact"/>
              <w:jc w:val="right"/>
            </w:pPr>
            <w:r>
              <w:t xml:space="preserve">0.086</w:t>
            </w:r>
          </w:p>
        </w:tc>
      </w:tr>
    </w:tbl>
    <w:p>
      <w:pPr>
        <w:pStyle w:val="BodyText"/>
      </w:pPr>
      <w:r>
        <w:drawing>
          <wp:inline>
            <wp:extent cx="5334000" cy="2548466"/>
            <wp:effectExtent b="0" l="0" r="0" t="0"/>
            <wp:docPr descr="Fig9 error" title="" id="38" name="Picture"/>
            <a:graphic>
              <a:graphicData uri="http://schemas.openxmlformats.org/drawingml/2006/picture">
                <pic:pic>
                  <pic:nvPicPr>
                    <pic:cNvPr descr="figures/fig9_calibration_error_comparison.png" id="39" name="Picture"/>
                    <pic:cNvPicPr>
                      <a:picLocks noChangeArrowheads="1" noChangeAspect="1"/>
                    </pic:cNvPicPr>
                  </pic:nvPicPr>
                  <pic:blipFill>
                    <a:blip r:embed="rId37"/>
                    <a:stretch>
                      <a:fillRect/>
                    </a:stretch>
                  </pic:blipFill>
                  <pic:spPr bwMode="auto">
                    <a:xfrm>
                      <a:off x="0" y="0"/>
                      <a:ext cx="5334000" cy="2548466"/>
                    </a:xfrm>
                    <a:prstGeom prst="rect">
                      <a:avLst/>
                    </a:prstGeom>
                    <a:noFill/>
                    <a:ln w="9525">
                      <a:noFill/>
                      <a:headEnd/>
                      <a:tailEnd/>
                    </a:ln>
                  </pic:spPr>
                </pic:pic>
              </a:graphicData>
            </a:graphic>
          </wp:inline>
        </w:drawing>
      </w:r>
    </w:p>
    <w:p>
      <w:pPr>
        <w:pStyle w:val="BodyText"/>
      </w:pPr>
      <w:r>
        <w:t xml:space="preserve">그림 7. Baseline별 calibration error 비교. N/A는 ν/inf로 계산 불가능한 값을 뜻한다.</w:t>
      </w:r>
    </w:p>
    <w:p>
      <w:pPr>
        <w:pStyle w:val="BodyText"/>
      </w:pPr>
      <w:r>
        <w:t xml:space="preserve">100k×1 batch8은 ID calibration MAE 0.0086으로 안정적이지만 Near 0.1171과 Far 0.6555의 악화가 크다. 100k×5 batch8은 저장된 비교 결과에서 ID/Near/Far MAE가 낮아졌지만 Far uncertainty가 ν/inf를 포함하므로 numerical stability를 함께 해석해야 한다. batch400 BF16은 ID 0.2698, Near 0.2409, Far 0.2920, pooled OOD 0.0859로 finite했지만 ID calibration이 batch8 reference보다 크게 나쁘다. pooled OOD 하나만 낮다는 이유로 calibration이 좋다고 결론내릴 수 없으며, ID/Near/Far 분리 결과와 Fig.8 separation을 함께 봐야 한다.</w:t>
      </w:r>
    </w:p>
    <w:bookmarkEnd w:id="40"/>
    <w:bookmarkStart w:id="41" w:name="X6eea527c5820e32929b1422eaf52a6bfaab3609"/>
    <w:p>
      <w:pPr>
        <w:pStyle w:val="Heading3"/>
      </w:pPr>
      <w:r>
        <w:t xml:space="preserve">3.7 최종 Baseline 선정</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설정</w:t>
            </w:r>
          </w:p>
        </w:tc>
        <w:tc>
          <w:tcPr/>
          <w:p>
            <w:pPr>
              <w:pStyle w:val="Compact"/>
              <w:jc w:val="right"/>
            </w:pPr>
            <w:r>
              <w:t xml:space="preserve">Training time</w:t>
            </w:r>
          </w:p>
        </w:tc>
        <w:tc>
          <w:tcPr/>
          <w:p>
            <w:pPr>
              <w:pStyle w:val="Compact"/>
              <w:jc w:val="right"/>
            </w:pPr>
            <w:r>
              <w:t xml:space="preserve">samples/s</w:t>
            </w:r>
          </w:p>
        </w:tc>
        <w:tc>
          <w:tcPr/>
          <w:p>
            <w:pPr>
              <w:pStyle w:val="Compact"/>
              <w:jc w:val="right"/>
            </w:pPr>
            <w:r>
              <w:t xml:space="preserve">memory</w:t>
            </w:r>
          </w:p>
        </w:tc>
        <w:tc>
          <w:tcPr/>
          <w:p>
            <w:pPr>
              <w:pStyle w:val="Compact"/>
            </w:pPr>
            <w:r>
              <w:t xml:space="preserve">Reconstruction</w:t>
            </w:r>
          </w:p>
        </w:tc>
        <w:tc>
          <w:tcPr/>
          <w:p>
            <w:pPr>
              <w:pStyle w:val="Compact"/>
              <w:jc w:val="right"/>
            </w:pPr>
            <w:r>
              <w:t xml:space="preserve">Near OOD separation</w:t>
            </w:r>
          </w:p>
        </w:tc>
        <w:tc>
          <w:tcPr/>
          <w:p>
            <w:pPr>
              <w:pStyle w:val="Compact"/>
              <w:jc w:val="right"/>
            </w:pPr>
            <w:r>
              <w:t xml:space="preserve">Far OOD</w:t>
            </w:r>
          </w:p>
        </w:tc>
        <w:tc>
          <w:tcPr/>
          <w:p>
            <w:pPr>
              <w:pStyle w:val="Compact"/>
            </w:pPr>
            <w:r>
              <w:t xml:space="preserve">Calibration</w:t>
            </w:r>
          </w:p>
        </w:tc>
        <w:tc>
          <w:tcPr/>
          <w:p>
            <w:pPr>
              <w:pStyle w:val="Compact"/>
            </w:pPr>
            <w:r>
              <w:t xml:space="preserve">Numerical stability</w:t>
            </w:r>
          </w:p>
        </w:tc>
      </w:tr>
      <w:tr>
        <w:tc>
          <w:tcPr/>
          <w:p>
            <w:pPr>
              <w:pStyle w:val="Compact"/>
            </w:pPr>
            <w:r>
              <w:t xml:space="preserve">100k×1 batch8 FP32</w:t>
            </w:r>
          </w:p>
        </w:tc>
        <w:tc>
          <w:tcPr/>
          <w:p>
            <w:pPr>
              <w:pStyle w:val="Compact"/>
              <w:jc w:val="right"/>
            </w:pPr>
            <w:r>
              <w:t xml:space="preserve">44.3 min</w:t>
            </w:r>
          </w:p>
        </w:tc>
        <w:tc>
          <w:tcPr/>
          <w:p>
            <w:pPr>
              <w:pStyle w:val="Compact"/>
              <w:jc w:val="right"/>
            </w:pPr>
            <w:r>
              <w:t xml:space="preserve">37.6 actual</w:t>
            </w:r>
          </w:p>
        </w:tc>
        <w:tc>
          <w:tcPr/>
          <w:p>
            <w:pPr>
              <w:pStyle w:val="Compact"/>
              <w:jc w:val="right"/>
            </w:pPr>
            <w:r>
              <w:t xml:space="preserve">reference</w:t>
            </w:r>
          </w:p>
        </w:tc>
        <w:tc>
          <w:tcPr/>
          <w:p>
            <w:pPr>
              <w:pStyle w:val="Compact"/>
            </w:pPr>
            <w:r>
              <w:t xml:space="preserve">정상</w:t>
            </w:r>
          </w:p>
        </w:tc>
        <w:tc>
          <w:tcPr/>
          <w:p>
            <w:pPr>
              <w:pStyle w:val="Compact"/>
              <w:jc w:val="right"/>
            </w:pPr>
            <w:r>
              <w:t xml:space="preserve">0.621</w:t>
            </w:r>
          </w:p>
        </w:tc>
        <w:tc>
          <w:tcPr/>
          <w:p>
            <w:pPr>
              <w:pStyle w:val="Compact"/>
              <w:jc w:val="right"/>
            </w:pPr>
            <w:r>
              <w:t xml:space="preserve">0.997</w:t>
            </w:r>
          </w:p>
        </w:tc>
        <w:tc>
          <w:tcPr/>
          <w:p>
            <w:pPr>
              <w:pStyle w:val="Compact"/>
            </w:pPr>
            <w:r>
              <w:t xml:space="preserve">ID 0.0086</w:t>
            </w:r>
          </w:p>
        </w:tc>
        <w:tc>
          <w:tcPr/>
          <w:p>
            <w:pPr>
              <w:pStyle w:val="Compact"/>
            </w:pPr>
            <w:r>
              <w:t xml:space="preserve">finite</w:t>
            </w:r>
          </w:p>
        </w:tc>
      </w:tr>
      <w:tr>
        <w:tc>
          <w:tcPr/>
          <w:p>
            <w:pPr>
              <w:pStyle w:val="Compact"/>
            </w:pPr>
            <w:r>
              <w:t xml:space="preserve">100k×5 batch8 FP32</w:t>
            </w:r>
          </w:p>
        </w:tc>
        <w:tc>
          <w:tcPr/>
          <w:p>
            <w:pPr>
              <w:pStyle w:val="Compact"/>
              <w:jc w:val="right"/>
            </w:pPr>
            <w:r>
              <w:t xml:space="preserve">12.24 h</w:t>
            </w:r>
          </w:p>
        </w:tc>
        <w:tc>
          <w:tcPr/>
          <w:p>
            <w:pPr>
              <w:pStyle w:val="Compact"/>
              <w:jc w:val="right"/>
            </w:pPr>
            <w:r>
              <w:t xml:space="preserve">11.4 actual</w:t>
            </w:r>
          </w:p>
        </w:tc>
        <w:tc>
          <w:tcPr/>
          <w:p>
            <w:pPr>
              <w:pStyle w:val="Compact"/>
              <w:jc w:val="right"/>
            </w:pPr>
            <w:r>
              <w:t xml:space="preserve">reference</w:t>
            </w:r>
          </w:p>
        </w:tc>
        <w:tc>
          <w:tcPr/>
          <w:p>
            <w:pPr>
              <w:pStyle w:val="Compact"/>
            </w:pPr>
            <w:r>
              <w:t xml:space="preserve">가장 낮은 NMSE</w:t>
            </w:r>
          </w:p>
        </w:tc>
        <w:tc>
          <w:tcPr/>
          <w:p>
            <w:pPr>
              <w:pStyle w:val="Compact"/>
              <w:jc w:val="right"/>
            </w:pPr>
            <w:r>
              <w:t xml:space="preserve">0.948</w:t>
            </w:r>
          </w:p>
        </w:tc>
        <w:tc>
          <w:tcPr/>
          <w:p>
            <w:pPr>
              <w:pStyle w:val="Compact"/>
              <w:jc w:val="right"/>
            </w:pPr>
            <w:r>
              <w:t xml:space="preserve">N/A (ν/inf)</w:t>
            </w:r>
          </w:p>
        </w:tc>
        <w:tc>
          <w:tcPr/>
          <w:p>
            <w:pPr>
              <w:pStyle w:val="Compact"/>
            </w:pPr>
            <w:r>
              <w:t xml:space="preserve">낮은 recorded CE, Far failure</w:t>
            </w:r>
          </w:p>
        </w:tc>
        <w:tc>
          <w:tcPr/>
          <w:p>
            <w:pPr>
              <w:pStyle w:val="Compact"/>
            </w:pPr>
            <w:r>
              <w:t xml:space="preserve">불안정</w:t>
            </w:r>
          </w:p>
        </w:tc>
      </w:tr>
      <w:tr>
        <w:tc>
          <w:tcPr/>
          <w:p>
            <w:pPr>
              <w:pStyle w:val="Compact"/>
            </w:pPr>
            <w:r>
              <w:t xml:space="preserve">100k×5 batch400 BF16</w:t>
            </w:r>
          </w:p>
        </w:tc>
        <w:tc>
          <w:tcPr/>
          <w:p>
            <w:pPr>
              <w:pStyle w:val="Compact"/>
              <w:jc w:val="right"/>
            </w:pPr>
            <w:r>
              <w:t xml:space="preserve">93 min</w:t>
            </w:r>
          </w:p>
        </w:tc>
        <w:tc>
          <w:tcPr/>
          <w:p>
            <w:pPr>
              <w:pStyle w:val="Compact"/>
              <w:jc w:val="right"/>
            </w:pPr>
            <w:r>
              <w:t xml:space="preserve">89.6 actual / 133.9 benchmark</w:t>
            </w:r>
          </w:p>
        </w:tc>
        <w:tc>
          <w:tcPr/>
          <w:p>
            <w:pPr>
              <w:pStyle w:val="Compact"/>
              <w:jc w:val="right"/>
            </w:pPr>
            <w:r>
              <w:t xml:space="preserve">17.22 GiB</w:t>
            </w:r>
          </w:p>
        </w:tc>
        <w:tc>
          <w:tcPr/>
          <w:p>
            <w:pPr>
              <w:pStyle w:val="Compact"/>
            </w:pPr>
            <w:r>
              <w:t xml:space="preserve">정상</w:t>
            </w:r>
          </w:p>
        </w:tc>
        <w:tc>
          <w:tcPr/>
          <w:p>
            <w:pPr>
              <w:pStyle w:val="Compact"/>
              <w:jc w:val="right"/>
            </w:pPr>
            <w:r>
              <w:t xml:space="preserve">0.542</w:t>
            </w:r>
          </w:p>
        </w:tc>
        <w:tc>
          <w:tcPr/>
          <w:p>
            <w:pPr>
              <w:pStyle w:val="Compact"/>
              <w:jc w:val="right"/>
            </w:pPr>
            <w:r>
              <w:t xml:space="preserve">0.803</w:t>
            </w:r>
          </w:p>
        </w:tc>
        <w:tc>
          <w:tcPr/>
          <w:p>
            <w:pPr>
              <w:pStyle w:val="Compact"/>
            </w:pPr>
            <w:r>
              <w:t xml:space="preserve">ID 0.2698, pooled 0.0859</w:t>
            </w:r>
          </w:p>
        </w:tc>
        <w:tc>
          <w:tcPr/>
          <w:p>
            <w:pPr>
              <w:pStyle w:val="Compact"/>
            </w:pPr>
            <w:r>
              <w:t xml:space="preserve">finite</w:t>
            </w:r>
          </w:p>
        </w:tc>
      </w:tr>
    </w:tbl>
    <w:p>
      <w:pPr>
        <w:pStyle w:val="BodyText"/>
      </w:pPr>
      <w:r>
        <w:t xml:space="preserve">본 연구에서는 논문과 가장 동일한 학습 규모를 주장하지 않는다. 현재 GB10 환경에서 training throughput, GPU utilization, memory margin, numerical stability, CFR reconstruction 및 uncertainty behavior를 종합했을 때</w:t>
      </w:r>
      <w:r>
        <w:t xml:space="preserve"> </w:t>
      </w:r>
      <w:r>
        <w:rPr>
          <w:rStyle w:val="VerbatimChar"/>
        </w:rPr>
        <w:t xml:space="preserve">100,000 samples × 5 epochs / direct batch400 / BF16 AMP backbone + FP32 evidential loss</w:t>
      </w:r>
      <w:r>
        <w:t xml:space="preserve">를 가장 실용적인 operational/efficient reproduction baseline으로 선정한다. 이 선택은 Fig.8/9 성능이 가장 좋아서가 아니다. batch8×5보다 약 7배 이상 짧은 약 93분에 완료되고, GPU utilization이 높으며, memory margin이 크고, Far regime까지 finite하게 동작하기 때문이다.</w:t>
      </w:r>
    </w:p>
    <w:p>
      <w:pPr>
        <w:pStyle w:val="BodyText"/>
      </w:pPr>
      <w:r>
        <w:t xml:space="preserve">동시에 한계도 명확하다. batch400 BF16은 100k×1 batch8 reference보다 Near-OOD separation과 ID calibration이 떨어진다. 따라서 이 baseline을 “가장 정확한 baseline”, “논문 재현 성공”, 또는 “논문과 동일한 설정”으로 부르지 않는다. 정확한 표현은 현재 하드웨어에서 반복 가능한 학습 비용과 reconstruction/uncertainty의 유한성까지 고려한 operational baseline이다.</w:t>
      </w:r>
    </w:p>
    <w:p>
      <w:pPr>
        <w:pStyle w:val="BodyText"/>
      </w:pPr>
      <w:r>
        <w:rPr>
          <w:b/>
          <w:bCs/>
        </w:rPr>
        <w:t xml:space="preserve">향후 추가 예정 결과.</w:t>
      </w:r>
    </w:p>
    <w:p>
      <w:pPr>
        <w:pStyle w:val="BodyText"/>
      </w:pPr>
      <w:r>
        <w:t xml:space="preserve">본 문서에는 요청 범위에 따라 Fig.11 최종 평가와 dynamic feedback control 결과를 포함하지 않았다. 이후 확정된 operational baseline에 대해 Fig.8/9 후속 검증과 Fig.11 최종 평가를 별도 절로 추가할 수 있다.</w:t>
      </w:r>
    </w:p>
    <w:p>
      <w:pPr>
        <w:pStyle w:val="BodyText"/>
      </w:pPr>
      <w:r>
        <w:rPr>
          <w:b/>
          <w:bCs/>
        </w:rPr>
        <w:t xml:space="preserve">수치 및 그림 source.</w:t>
      </w:r>
    </w:p>
    <w:p>
      <w:pPr>
        <w:pStyle w:val="BodyText"/>
      </w:pPr>
      <w:r>
        <w:t xml:space="preserve">모든 수치와 그림 source는</w:t>
      </w:r>
      <w:r>
        <w:t xml:space="preserve"> </w:t>
      </w:r>
      <w:r>
        <w:rPr>
          <w:rStyle w:val="VerbatimChar"/>
        </w:rPr>
        <w:t xml:space="preserve">report/source_data/figure_sources.json</w:t>
      </w:r>
      <w:r>
        <w:t xml:space="preserve">,</w:t>
      </w:r>
      <w:r>
        <w:t xml:space="preserve"> </w:t>
      </w:r>
      <w:r>
        <w:rPr>
          <w:rStyle w:val="VerbatimChar"/>
        </w:rPr>
        <w:t xml:space="preserve">report/source_data/benchmark_summary.csv</w:t>
      </w:r>
      <w:r>
        <w:t xml:space="preserve">에 기록했다. 기존 checkpoint, result, CSV, log는 읽기 전용으로 사용했으며 수정·삭제·덮어쓰지 않았다.</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8" Target="media/rId18.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2026-09-17T19:47:23Z</dcterms:created>
  <dcterms:modified xsi:type="dcterms:W3CDTF">2026-09-17T19:47:23Z</dcterms:modified>
</cp:coreProperties>
</file>

<file path=docProps/custom.xml><?xml version="1.0" encoding="utf-8"?>
<Properties xmlns="http://schemas.openxmlformats.org/officeDocument/2006/custom-properties" xmlns:vt="http://schemas.openxmlformats.org/officeDocument/2006/docPropsVTypes"/>
</file>