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8A"/>
        </w:rPr>
        <w:t>RAPPORT D'AUDIT</w:t>
      </w:r>
    </w:p>
    <w:p>
      <w:pPr>
        <w:jc w:val="center"/>
      </w:pPr>
      <w:r>
        <w:rPr>
          <w:i/>
          <w:sz w:val="28"/>
        </w:rPr>
        <w:t>Synthèse des FRAP</w:t>
      </w:r>
    </w:p>
    <w:p/>
    <w:p>
      <w:pPr>
        <w:pStyle w:val="Heading1"/>
      </w:pPr>
      <w:r>
        <w:rPr>
          <w:color w:val="1E3A8A"/>
        </w:rPr>
        <w:t>1. Constatation 1</w:t>
      </w:r>
    </w:p>
    <w:p>
      <w:r>
        <w:rPr>
          <w:b/>
          <w:color w:val="1E3A8A"/>
          <w:sz w:val="22"/>
        </w:rPr>
        <w:t>Observation/Analyse</w:t>
      </w:r>
    </w:p>
    <w:p>
      <w:pPr>
        <w:ind w:left="283"/>
      </w:pPr>
      <w:r>
        <w:t>Le rapprochement effectué entre les décaissements enregistrés au crédit du compte 571 000 — Caisse et les pièces justificatives collectées auprès de l'entité fait ressortir un écart de 6 000 000 FCFA au 31.12.N. En effet, des décaissements d'un montant cumulé de 6 000 000 FCFA, comptabilisés en charges fournisseurs au débit des comptes 601 XXX / 62X XXX, ne sont appuyés d'aucune pièce justificative probante, remettant en cause l'assertion de validité des opérations.</w:t>
      </w:r>
    </w:p>
    <w:p/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