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SYNTHÈSE CAC - RAPPORT D'AUDIT</w:t>
      </w:r>
    </w:p>
    <w:p>
      <w:r>
        <w:t>Date du rapport: 2026-03-26</w:t>
      </w:r>
    </w:p>
    <w:p/>
    <w:p>
      <w:pPr>
        <w:pStyle w:val="Heading1"/>
      </w:pPr>
      <w:r>
        <w:t>2. OBSERVATIONS D'AUDIT</w:t>
      </w:r>
    </w:p>
    <w:p/>
    <w:p>
      <w:pPr>
        <w:pStyle w:val="Heading2"/>
      </w:pPr>
      <w:r>
        <w:t>Sommaire des observations</w:t>
      </w:r>
    </w:p>
    <w:p>
      <w:pPr>
        <w:pStyle w:val="ListNumber"/>
      </w:pPr>
      <w:r>
        <w:t>1. Intitule</w:t>
        <w:br/>
        <w:br/>
        <w:t>Dépenses de caisse non appuyées par des pièces justificatives probantes</w:t>
      </w:r>
    </w:p>
    <w:p>
      <w:pPr>
        <w:pStyle w:val="ListNumber"/>
      </w:pPr>
      <w:r>
        <w:t>2. Intitule</w:t>
        <w:br/>
        <w:br/>
        <w:t>Dépenses de caisse non appuyées par des pièces justificatives probantes</w:t>
      </w:r>
    </w:p>
    <w:p/>
    <w:p>
      <w:pPr>
        <w:pStyle w:val="Heading2"/>
      </w:pPr>
      <w:r>
        <w:t>2.1. Intitule</w:t>
        <w:br/>
        <w:br/>
        <w:t>Dépenses de caisse non appuyées par des pièces justificatives probantes</w:t>
      </w:r>
    </w:p>
    <w:p>
      <w:pPr>
        <w:spacing w:after="120" w:line="276" w:lineRule="auto"/>
        <w:ind w:left="360"/>
      </w:pPr>
      <w:r>
        <w:rPr>
          <w:rFonts w:ascii="Calibri" w:hAnsi="Calibri"/>
          <w:b/>
          <w:sz w:val="22"/>
        </w:rPr>
        <w:t xml:space="preserve">Description: </w:t>
      </w:r>
      <w:r>
        <w:rPr>
          <w:rFonts w:ascii="Calibri" w:hAnsi="Calibri"/>
          <w:sz w:val="22"/>
        </w:rPr>
        <w:t>Description</w:t>
      </w:r>
      <w:r>
        <w:br/>
      </w:r>
      <w:r>
        <w:br/>
      </w:r>
      <w:r>
        <w:rPr>
          <w:rFonts w:ascii="Calibri" w:hAnsi="Calibri"/>
          <w:sz w:val="22"/>
        </w:rPr>
        <w:t>Nous avons mis en œuvre une procédure de rapprochement des pièces justificatives de caisse (référence feuille de travail : AA040), consistant à rapprocher exhaustivement chaque écriture enregistrée au journal de caisse avec sa pièce justificative correspondante (facture fournisseur, reçu signé, bon de caisse visé par un responsable habilité) pour l'ensemble des décaissements comptabilisés en charges fournisseurs au cours de l'exercice clos. Cette procédure vise à s'assurer que chaque décaissement enregistré au crédit du compte 571 000 — Caisse est adossé à une pièce justificative probante, permettant d'établir la réalité, la nature et le bien-fondé de la charge correspondante, conformément aux exigences du SYSCOHADA Révisé et aux principes de régularité et de sincérité des états financiers.</w:t>
      </w:r>
    </w:p>
    <w:p>
      <w:pPr>
        <w:spacing w:after="120" w:line="276" w:lineRule="auto"/>
        <w:ind w:left="360"/>
      </w:pPr>
      <w:r>
        <w:rPr>
          <w:rFonts w:ascii="Calibri" w:hAnsi="Calibri"/>
          <w:b/>
          <w:sz w:val="22"/>
        </w:rPr>
        <w:t xml:space="preserve">Observation: </w:t>
      </w:r>
      <w:r>
        <w:rPr>
          <w:rFonts w:ascii="Calibri" w:hAnsi="Calibri"/>
          <w:sz w:val="22"/>
        </w:rPr>
        <w:t>Observation</w:t>
      </w:r>
      <w:r>
        <w:br/>
      </w:r>
      <w:r>
        <w:br/>
      </w:r>
      <w:r>
        <w:rPr>
          <w:rFonts w:ascii="Calibri" w:hAnsi="Calibri"/>
          <w:sz w:val="22"/>
        </w:rPr>
        <w:t>Le rapprochement effectué entre les décaissements enregistrés au crédit du compte 571 000 — Caisse et les pièces justificatives collectées auprès de l'entité fait ressortir un écart de 6 000 000 FCFA au 31.12.N. En effet, des décaissements d'un montant cumulé de 6 000 000 FCFA, comptabilisés en charges fournisseurs au débit des comptes 601 XXX / 62X XXX, ne sont appuyés d'aucune pièce justificative probante, remettant en cause l'assertion de validité des opérations.</w:t>
      </w:r>
    </w:p>
    <w:p>
      <w:pPr>
        <w:spacing w:after="120" w:line="276" w:lineRule="auto"/>
        <w:ind w:left="360"/>
      </w:pPr>
      <w:r>
        <w:rPr>
          <w:rFonts w:ascii="Calibri" w:hAnsi="Calibri"/>
          <w:b/>
          <w:sz w:val="22"/>
        </w:rPr>
        <w:t xml:space="preserve">Ajustement proposé: </w:t>
      </w:r>
      <w:r>
        <w:rPr>
          <w:rFonts w:ascii="Calibri" w:hAnsi="Calibri"/>
          <w:sz w:val="22"/>
        </w:rPr>
        <w:t>Ajustement/Reclassement</w:t>
      </w:r>
      <w:r>
        <w:br/>
      </w:r>
      <w:r>
        <w:br/>
      </w:r>
      <w:r>
        <w:rPr>
          <w:rFonts w:ascii="Calibri" w:hAnsi="Calibri"/>
          <w:sz w:val="22"/>
        </w:rPr>
        <w:t>- Nous proposons un ajustement pour sur-évaluation de charges d'un montant de 6 000 000 FCFA, correspondant à l'extourne des décaissements enregistrés en charges fournisseurs sans pièces justificatives probantes. Conformément au SYSCOHADA Révisé, une charge ne peut être maintenue dans les états financiers que si elle est justifiée par des pièces probantes. En l'absence de ces dernières, le critère de validité n'est pas satisfait, entraînant une sur-évaluation du résultat et une distorsion du solde de trésorerie.</w:t>
      </w:r>
    </w:p>
    <w:p>
      <w:pPr>
        <w:spacing w:after="120" w:line="276" w:lineRule="auto"/>
        <w:ind w:left="360"/>
      </w:pPr>
      <w:r>
        <w:rPr>
          <w:rFonts w:ascii="Calibri" w:hAnsi="Calibri"/>
          <w:b/>
          <w:sz w:val="22"/>
        </w:rPr>
        <w:t xml:space="preserve">Régularisation: </w:t>
      </w:r>
      <w:r>
        <w:rPr>
          <w:rFonts w:ascii="Calibri" w:hAnsi="Calibri"/>
          <w:sz w:val="22"/>
        </w:rPr>
        <w:t>Regularisation comptable</w:t>
      </w:r>
      <w:r>
        <w:br/>
      </w:r>
      <w:r>
        <w:br/>
      </w:r>
      <w:r>
        <w:rPr>
          <w:rFonts w:ascii="Calibri" w:hAnsi="Calibri"/>
          <w:sz w:val="22"/>
        </w:rPr>
        <w:t>Nous proposons le débit du compte 571 000 — Caisse pour un montant de 6 000 000 FCFA (TTC), par le crédit du compte 601 XXX / 62X XXX — Achats / Charges fournisseurs pour le montant de 5 084 746 FCFA (HT), et le crédit du compte 445 660 — TVA récupérable sur autres biens et services pour le montant de 915 254 FCFA (TVA 18%), au 31.12.N.</w:t>
      </w:r>
    </w:p>
    <w:p/>
    <w:p>
      <w:pPr>
        <w:pStyle w:val="Heading2"/>
      </w:pPr>
      <w:r>
        <w:t>2.2. Intitule</w:t>
        <w:br/>
        <w:br/>
        <w:t>Dépenses de caisse non appuyées par des pièces justificatives probantes</w:t>
      </w:r>
    </w:p>
    <w:p>
      <w:pPr>
        <w:spacing w:after="120" w:line="276" w:lineRule="auto"/>
        <w:ind w:left="360"/>
      </w:pPr>
      <w:r>
        <w:rPr>
          <w:rFonts w:ascii="Calibri" w:hAnsi="Calibri"/>
          <w:b/>
          <w:sz w:val="22"/>
        </w:rPr>
        <w:t xml:space="preserve">Description: </w:t>
      </w:r>
      <w:r>
        <w:rPr>
          <w:rFonts w:ascii="Calibri" w:hAnsi="Calibri"/>
          <w:sz w:val="22"/>
        </w:rPr>
        <w:t>Description</w:t>
      </w:r>
      <w:r>
        <w:br/>
      </w:r>
      <w:r>
        <w:br/>
      </w:r>
      <w:r>
        <w:rPr>
          <w:rFonts w:ascii="Calibri" w:hAnsi="Calibri"/>
          <w:sz w:val="22"/>
        </w:rPr>
        <w:t>Nous avons mis en œuvre une procédure de rapprochement des pièces justificatives de caisse (référence feuille de travail : AA040), consistant à rapprocher exhaustivement chaque écriture enregistrée au journal de caisse avec sa pièce justificative correspondante (facture fournisseur, reçu signé, bon de caisse visé par un responsable habilité) pour l'ensemble des décaissements comptabilisés en charges fournisseurs au cours de l'exercice clos le 31.12.N. Cette procédure vise à s'assurer que chaque décaissement enregistré au crédit du compte 571 000 — Caisse est adossé à une pièce justificative probante, permettant d'établir la réalité, la nature et le bien-fondé de la charge correspondante, conformément aux exigences du SYSCOHADA Révisé et aux principes de régularité et de sincérité des états financiers.</w:t>
      </w:r>
    </w:p>
    <w:p>
      <w:pPr>
        <w:spacing w:after="120" w:line="276" w:lineRule="auto"/>
        <w:ind w:left="360"/>
      </w:pPr>
      <w:r>
        <w:rPr>
          <w:rFonts w:ascii="Calibri" w:hAnsi="Calibri"/>
          <w:b/>
          <w:sz w:val="22"/>
        </w:rPr>
        <w:t xml:space="preserve">Observation: </w:t>
      </w:r>
      <w:r>
        <w:rPr>
          <w:rFonts w:ascii="Calibri" w:hAnsi="Calibri"/>
          <w:sz w:val="22"/>
        </w:rPr>
        <w:t>Observation</w:t>
      </w:r>
      <w:r>
        <w:br/>
      </w:r>
      <w:r>
        <w:br/>
      </w:r>
      <w:r>
        <w:rPr>
          <w:rFonts w:ascii="Calibri" w:hAnsi="Calibri"/>
          <w:sz w:val="22"/>
        </w:rPr>
        <w:t>Le rapprochement effectué entre les décaissements enregistrés au crédit du compte 571 000 — Caisse et les pièces justificatives collectées auprès de l'entité fait ressortir un écart de 6 000 000 FCFA au 31.12.N. En effet, des décaissements d'un montant cumulé de 6 000 000 FCFA, comptabilisés en charges fournisseurs au débit des comptes 601 XXX, ne sont appuyés d'aucune pièce justificative probante, ce qui remet en cause l'assertion de validité des opérations.</w:t>
      </w:r>
    </w:p>
    <w:p>
      <w:pPr>
        <w:spacing w:after="120" w:line="276" w:lineRule="auto"/>
        <w:ind w:left="360"/>
      </w:pPr>
      <w:r>
        <w:rPr>
          <w:rFonts w:ascii="Calibri" w:hAnsi="Calibri"/>
          <w:b/>
          <w:sz w:val="22"/>
        </w:rPr>
        <w:t xml:space="preserve">Ajustement proposé: </w:t>
      </w:r>
      <w:r>
        <w:rPr>
          <w:rFonts w:ascii="Calibri" w:hAnsi="Calibri"/>
          <w:sz w:val="22"/>
        </w:rPr>
        <w:t>Ajustement/Reclassement</w:t>
      </w:r>
      <w:r>
        <w:br/>
      </w:r>
      <w:r>
        <w:br/>
      </w:r>
      <w:r>
        <w:rPr>
          <w:rFonts w:ascii="Calibri" w:hAnsi="Calibri"/>
          <w:sz w:val="22"/>
        </w:rPr>
        <w:t>- Nous proposons un ajustement pour sur-évaluation de charges d'un montant de 6 000 000 FCFA, correspondant à l'extourne des décaissements enregistrés en charges fournisseurs sans pièces justificatives probantes. Conformément au SYSCOHADA Révisé, une charge ne peut être reconnue dans les états financiers que si elle est justifiée par des pièces probantes. En l'absence de ces justificatifs, les charges concernées ne satisfont pas au critère de validité et ne peuvent être maintenues dans les états financiers, entraînant une sous-évaluation du résultat.</w:t>
      </w:r>
    </w:p>
    <w:p>
      <w:pPr>
        <w:spacing w:after="120" w:line="276" w:lineRule="auto"/>
        <w:ind w:left="360"/>
      </w:pPr>
      <w:r>
        <w:rPr>
          <w:rFonts w:ascii="Calibri" w:hAnsi="Calibri"/>
          <w:b/>
          <w:sz w:val="22"/>
        </w:rPr>
        <w:t xml:space="preserve">Régularisation: </w:t>
      </w:r>
      <w:r>
        <w:rPr>
          <w:rFonts w:ascii="Calibri" w:hAnsi="Calibri"/>
          <w:sz w:val="22"/>
        </w:rPr>
        <w:t>Regularisation comptable</w:t>
      </w:r>
      <w:r>
        <w:br/>
      </w:r>
      <w:r>
        <w:br/>
      </w:r>
      <w:r>
        <w:rPr>
          <w:rFonts w:ascii="Calibri" w:hAnsi="Calibri"/>
          <w:sz w:val="22"/>
        </w:rPr>
        <w:t>Nous proposons le débit du compte 571 000 — Caisse pour un montant de 6 000 000 FCFA (TTC), par le crédit du compte 601 XXX — Achats / Charges fournisseurs pour le montant de 5 084 746 FCFA (HT), et le crédit du compte 445 660 — TVA récupérable sur autres biens et services pour le montant de 915 254 FCFA (TVA 18%), au 31.12.N.</w:t>
      </w:r>
    </w:p>
    <w:p/>
    <w:p>
      <w:pPr>
        <w:pStyle w:val="Heading1"/>
      </w:pPr>
      <w:r>
        <w:t>3. POINTS DE CONTRÔLE INTERNE</w:t>
      </w:r>
    </w:p>
    <w:p/>
    <w:p>
      <w:pPr>
        <w:pStyle w:val="Heading2"/>
      </w:pPr>
      <w:r>
        <w:t>Sommaire des points de contrôle interne</w:t>
      </w:r>
    </w:p>
    <w:p>
      <w:pPr>
        <w:pStyle w:val="ListNumber"/>
      </w:pPr>
      <w:r>
        <w:t>1. Intitule</w:t>
        <w:br/>
        <w:br/>
        <w:t>Défaillance dans la validation et la formalisation des rapprochements bancaires</w:t>
      </w:r>
    </w:p>
    <w:p/>
    <w:p>
      <w:pPr>
        <w:pStyle w:val="Heading2"/>
      </w:pPr>
      <w:r>
        <w:t>3.1. Intitule</w:t>
        <w:br/>
        <w:br/>
        <w:t>Défaillance dans la validation et la formalisation des rapprochements bancaires</w:t>
      </w:r>
    </w:p>
    <w:p>
      <w:pPr>
        <w:pStyle w:val="IntenseQuote"/>
      </w:pPr>
      <w:r>
        <w:t>Type: FRAP</w:t>
      </w:r>
    </w:p>
    <w:p>
      <w:pPr>
        <w:spacing w:after="120" w:line="276" w:lineRule="auto"/>
        <w:ind w:left="360"/>
      </w:pPr>
      <w:r>
        <w:rPr>
          <w:rFonts w:ascii="Calibri" w:hAnsi="Calibri"/>
          <w:b/>
          <w:sz w:val="22"/>
        </w:rPr>
        <w:t xml:space="preserve">Observation: </w:t>
      </w:r>
      <w:r>
        <w:rPr>
          <w:rFonts w:ascii="Calibri" w:hAnsi="Calibri"/>
          <w:sz w:val="22"/>
        </w:rPr>
        <w:t>Observation</w:t>
      </w:r>
      <w:r>
        <w:br/>
      </w:r>
      <w:r>
        <w:br/>
      </w:r>
      <w:r>
        <w:rPr>
          <w:rFonts w:ascii="Calibri" w:hAnsi="Calibri"/>
          <w:sz w:val="22"/>
        </w:rPr>
        <w:t>La procédure interne de gestion de la trésorerie stipule que les rapprochements bancaires doivent être établis mensuellement par le service comptable et validés par la signature du Directeur Administratif et Financier (DAF) afin d'assurer l'exactitude et l'exhaustivité des soldes bancaires. Nos travaux ont consisté à examiner les dossiers de rapprochements bancaires pour la période allant de juin à décembre 2025, en nous focalisant sur l'application de cette procédure de validation et sur les assertions de Validité et de Formalisation.</w:t>
      </w:r>
    </w:p>
    <w:p>
      <w:pPr>
        <w:spacing w:after="120" w:line="276" w:lineRule="auto"/>
        <w:ind w:left="360"/>
      </w:pPr>
      <w:r>
        <w:rPr>
          <w:rFonts w:ascii="Calibri" w:hAnsi="Calibri"/>
          <w:b/>
          <w:sz w:val="22"/>
        </w:rPr>
        <w:t xml:space="preserve">Constat: </w:t>
      </w:r>
      <w:r>
        <w:rPr>
          <w:rFonts w:ascii="Calibri" w:hAnsi="Calibri"/>
          <w:sz w:val="22"/>
        </w:rPr>
        <w:t>Constat</w:t>
      </w:r>
      <w:r>
        <w:br/>
      </w:r>
      <w:r>
        <w:br/>
      </w:r>
      <w:r>
        <w:rPr>
          <w:rFonts w:ascii="Calibri" w:hAnsi="Calibri"/>
          <w:sz w:val="22"/>
        </w:rPr>
        <w:t>- Nous avons constaté l'inexistence de rapprochements bancaires signés par le DAF pour les mois de juin à décembre 2025. - Cette absence de validation contrevient directement à la procédure interne qui exige la formalisation de ce contrôle clé. - L'assertion de Formalisation est violée, car le contrôle de validation par le DAF n'est pas documenté. - L'assertion de Validité est compromise, car l'absence de revue indépendante par le DAF ne garantit pas la fiabilité des soldes bancaires présentés.</w:t>
      </w:r>
    </w:p>
    <w:p>
      <w:pPr>
        <w:spacing w:after="120" w:line="276" w:lineRule="auto"/>
        <w:ind w:left="360"/>
      </w:pPr>
      <w:r>
        <w:rPr>
          <w:rFonts w:ascii="Calibri" w:hAnsi="Calibri"/>
          <w:b/>
          <w:sz w:val="22"/>
        </w:rPr>
        <w:t xml:space="preserve">Risque: </w:t>
      </w:r>
      <w:r>
        <w:rPr>
          <w:rFonts w:ascii="Calibri" w:hAnsi="Calibri"/>
          <w:sz w:val="22"/>
        </w:rPr>
        <w:t>Risque</w:t>
      </w:r>
      <w:r>
        <w:br/>
      </w:r>
      <w:r>
        <w:br/>
      </w:r>
      <w:r>
        <w:rPr>
          <w:rFonts w:ascii="Calibri" w:hAnsi="Calibri"/>
          <w:sz w:val="22"/>
        </w:rPr>
        <w:t>- Risque d'erreurs ou d'anomalies significatives non détectées dans les enregistrements bancaires. - Risque de fraude ou de détournement de fonds non identifié en temps utile. - Risque d'information financière non fiable concernant les soldes de trésorerie (impact sur l'assertion d'Exactitude). - Risque de prise de décision erronée par la direction basée sur des données de trésorerie inexactes. - Risque de non-conformité aux procédures internes et aux exigences réglementaires en matière de contrôle interne. - Risque de perte financière directe pour l'entreprise due à des transactions non autorisées ou des erreurs non corrigées.</w:t>
      </w:r>
    </w:p>
    <w:p>
      <w:pPr>
        <w:spacing w:after="120" w:line="276" w:lineRule="auto"/>
        <w:ind w:left="360"/>
      </w:pPr>
      <w:r>
        <w:rPr>
          <w:rFonts w:ascii="Calibri" w:hAnsi="Calibri"/>
          <w:b/>
          <w:sz w:val="22"/>
        </w:rPr>
        <w:t xml:space="preserve">Recommandation: </w:t>
      </w:r>
      <w:r>
        <w:rPr>
          <w:rFonts w:ascii="Calibri" w:hAnsi="Calibri"/>
          <w:sz w:val="22"/>
        </w:rPr>
        <w:t>Recommendation</w:t>
      </w:r>
      <w:r>
        <w:br/>
      </w:r>
      <w:r>
        <w:br/>
      </w:r>
      <w:r>
        <w:rPr>
          <w:rFonts w:ascii="Calibri" w:hAnsi="Calibri"/>
          <w:sz w:val="22"/>
        </w:rPr>
        <w:t>Afin de renforcer le dispositif de contrôle interne sur l'élaboration et la validation des rapprochements bancaires, nous recommandons la mise en œuvre des mesures suivantes : - Rendre obligatoire la signature et la datation des rapprochements bancaires par le DAF après leur revue, pour chaque mois, et s'assurer de leur archivage. - Mettre en place un tableau de bord de suivi des rapprochements bancaires, indiquant leur statut (préparé, revu, validé) et les éventuels écarts, avec une revue mensuelle par le DAF. - Organiser une session de rappel des procédures internes auprès du service comptable et du DAF concernant l'importance de la validation des rapprochements bancaires comme contrôle clé. - S'assurer que toutes les pièces justificatives des écarts identifiés lors des rapprochements sont documentées, validées et archivées de manière sécurisée.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