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1F0F8">
      <w:pPr>
        <w:spacing w:before="120" w:after="120" w:line="288" w:lineRule="auto"/>
        <w:jc w:val="both"/>
        <w:rPr>
          <w:rFonts w:ascii="Times New Roman" w:hAnsi="Times New Roman" w:cs="Times New Roman"/>
          <w:sz w:val="40"/>
          <w:szCs w:val="40"/>
        </w:rPr>
      </w:pPr>
      <w:r>
        <w:rPr>
          <w:rFonts w:ascii="Times New Roman" w:hAnsi="Times New Roman" w:cs="Times New Roman"/>
          <w:b/>
          <w:sz w:val="40"/>
          <w:szCs w:val="40"/>
        </w:rPr>
        <w:t>UNITÉ D'ÉTUDE UN</w:t>
      </w:r>
      <w:r>
        <w:rPr>
          <w:rFonts w:ascii="Times New Roman" w:hAnsi="Times New Roman" w:cs="Times New Roman"/>
          <w:sz w:val="40"/>
          <w:szCs w:val="40"/>
        </w:rPr>
        <w:t xml:space="preserve"> : </w:t>
      </w:r>
      <w:r>
        <w:rPr>
          <w:rFonts w:ascii="Times New Roman" w:hAnsi="Times New Roman" w:cs="Times New Roman"/>
          <w:b/>
          <w:sz w:val="40"/>
          <w:szCs w:val="40"/>
        </w:rPr>
        <w:t>FONDEMENTS DE L'AUDIT INTERNE</w:t>
      </w:r>
      <w:r>
        <w:rPr>
          <w:rFonts w:ascii="Times New Roman" w:hAnsi="Times New Roman" w:cs="Times New Roman"/>
          <w:sz w:val="40"/>
          <w:szCs w:val="40"/>
        </w:rPr>
        <w:t xml:space="preserve"> </w:t>
      </w:r>
    </w:p>
    <w:p w14:paraId="26961A62">
      <w:pPr>
        <w:pStyle w:val="4"/>
        <w:tabs>
          <w:tab w:val="left" w:pos="440"/>
          <w:tab w:val="right" w:leader="dot" w:pos="9913"/>
        </w:tabs>
        <w:rPr>
          <w:rFonts w:asciiTheme="minorHAnsi" w:hAnsiTheme="minorHAnsi" w:eastAsiaTheme="minorEastAsia" w:cstheme="minorBidi"/>
          <w:color w:val="auto"/>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"1-1" \h \z \u </w:instrText>
      </w:r>
      <w:r>
        <w:rPr>
          <w:rFonts w:ascii="Times New Roman" w:hAnsi="Times New Roman" w:cs="Times New Roman"/>
          <w:sz w:val="26"/>
          <w:szCs w:val="26"/>
        </w:rPr>
        <w:fldChar w:fldCharType="separate"/>
      </w:r>
      <w:r>
        <w:fldChar w:fldCharType="begin"/>
      </w:r>
      <w:r>
        <w:instrText xml:space="preserve"> HYPERLINK \l "_Toc41512313" </w:instrText>
      </w:r>
      <w:r>
        <w:fldChar w:fldCharType="separate"/>
      </w:r>
      <w:r>
        <w:rPr>
          <w:rStyle w:val="3"/>
          <w:rFonts w:ascii="Times New Roman" w:hAnsi="Times New Roman" w:cs="Times New Roman"/>
          <w:b/>
        </w:rPr>
        <w:t>I.</w:t>
      </w:r>
      <w:r>
        <w:rPr>
          <w:rFonts w:asciiTheme="minorHAnsi" w:hAnsiTheme="minorHAnsi" w:eastAsiaTheme="minorEastAsia" w:cstheme="minorBidi"/>
          <w:color w:val="auto"/>
        </w:rPr>
        <w:tab/>
      </w:r>
      <w:r>
        <w:rPr>
          <w:rStyle w:val="3"/>
          <w:rFonts w:ascii="Times New Roman" w:hAnsi="Times New Roman" w:cs="Times New Roman"/>
          <w:b/>
        </w:rPr>
        <w:t>LIGNES DIRECTRICES APPLICABLES</w:t>
      </w:r>
      <w:r>
        <w:tab/>
      </w:r>
      <w:r>
        <w:fldChar w:fldCharType="begin"/>
      </w:r>
      <w:r>
        <w:instrText xml:space="preserve"> PAGEREF _Toc41512313 \h </w:instrText>
      </w:r>
      <w:r>
        <w:fldChar w:fldCharType="separate"/>
      </w:r>
      <w:r>
        <w:t>2</w:t>
      </w:r>
      <w:r>
        <w:fldChar w:fldCharType="end"/>
      </w:r>
      <w:r>
        <w:fldChar w:fldCharType="end"/>
      </w:r>
    </w:p>
    <w:p w14:paraId="677EF598">
      <w:pPr>
        <w:pStyle w:val="4"/>
        <w:tabs>
          <w:tab w:val="left" w:pos="440"/>
          <w:tab w:val="right" w:leader="dot" w:pos="9913"/>
        </w:tabs>
        <w:rPr>
          <w:rFonts w:asciiTheme="minorHAnsi" w:hAnsiTheme="minorHAnsi" w:eastAsiaTheme="minorEastAsia" w:cstheme="minorBidi"/>
          <w:color w:val="auto"/>
        </w:rPr>
      </w:pPr>
      <w:r>
        <w:fldChar w:fldCharType="begin"/>
      </w:r>
      <w:r>
        <w:instrText xml:space="preserve"> HYPERLINK \l "_Toc41512314" </w:instrText>
      </w:r>
      <w:r>
        <w:fldChar w:fldCharType="separate"/>
      </w:r>
      <w:r>
        <w:rPr>
          <w:rStyle w:val="3"/>
          <w:rFonts w:ascii="Times New Roman" w:hAnsi="Times New Roman" w:cs="Times New Roman"/>
          <w:b/>
        </w:rPr>
        <w:t>II.</w:t>
      </w:r>
      <w:r>
        <w:rPr>
          <w:rFonts w:asciiTheme="minorHAnsi" w:hAnsiTheme="minorHAnsi" w:eastAsiaTheme="minorEastAsia" w:cstheme="minorBidi"/>
          <w:color w:val="auto"/>
        </w:rPr>
        <w:tab/>
      </w:r>
      <w:r>
        <w:rPr>
          <w:rStyle w:val="3"/>
          <w:rFonts w:ascii="Times New Roman" w:hAnsi="Times New Roman" w:cs="Times New Roman"/>
          <w:b/>
        </w:rPr>
        <w:t>CODES DE DÉONTOLOGIE POUR LES PROFESSIONNELS</w:t>
      </w:r>
      <w:r>
        <w:tab/>
      </w:r>
      <w:r>
        <w:fldChar w:fldCharType="begin"/>
      </w:r>
      <w:r>
        <w:instrText xml:space="preserve"> PAGEREF _Toc41512314 \h </w:instrText>
      </w:r>
      <w:r>
        <w:fldChar w:fldCharType="separate"/>
      </w:r>
      <w:r>
        <w:t>7</w:t>
      </w:r>
      <w:r>
        <w:fldChar w:fldCharType="end"/>
      </w:r>
      <w:r>
        <w:fldChar w:fldCharType="end"/>
      </w:r>
    </w:p>
    <w:p w14:paraId="0CA0B9D0">
      <w:pPr>
        <w:pStyle w:val="4"/>
        <w:tabs>
          <w:tab w:val="left" w:pos="660"/>
          <w:tab w:val="right" w:leader="dot" w:pos="9913"/>
        </w:tabs>
        <w:rPr>
          <w:rFonts w:asciiTheme="minorHAnsi" w:hAnsiTheme="minorHAnsi" w:eastAsiaTheme="minorEastAsia" w:cstheme="minorBidi"/>
          <w:color w:val="auto"/>
        </w:rPr>
      </w:pPr>
      <w:r>
        <w:fldChar w:fldCharType="begin"/>
      </w:r>
      <w:r>
        <w:instrText xml:space="preserve"> HYPERLINK \l "_Toc41512315" </w:instrText>
      </w:r>
      <w:r>
        <w:fldChar w:fldCharType="separate"/>
      </w:r>
      <w:r>
        <w:rPr>
          <w:rStyle w:val="3"/>
          <w:rFonts w:ascii="Times New Roman" w:hAnsi="Times New Roman" w:cs="Times New Roman"/>
          <w:b/>
        </w:rPr>
        <w:t>III.</w:t>
      </w:r>
      <w:r>
        <w:rPr>
          <w:rFonts w:asciiTheme="minorHAnsi" w:hAnsiTheme="minorHAnsi" w:eastAsiaTheme="minorEastAsia" w:cstheme="minorBidi"/>
          <w:color w:val="auto"/>
        </w:rPr>
        <w:tab/>
      </w:r>
      <w:r>
        <w:rPr>
          <w:rStyle w:val="3"/>
          <w:rFonts w:ascii="Times New Roman" w:hAnsi="Times New Roman" w:cs="Times New Roman"/>
          <w:b/>
        </w:rPr>
        <w:t>ÉTHIQUE D'AUDIT INTERNE - INTRODUCTION ET PRINCIPES</w:t>
      </w:r>
      <w:r>
        <w:tab/>
      </w:r>
      <w:r>
        <w:fldChar w:fldCharType="begin"/>
      </w:r>
      <w:r>
        <w:instrText xml:space="preserve"> PAGEREF _Toc41512315 \h </w:instrText>
      </w:r>
      <w:r>
        <w:fldChar w:fldCharType="separate"/>
      </w:r>
      <w:r>
        <w:t>8</w:t>
      </w:r>
      <w:r>
        <w:fldChar w:fldCharType="end"/>
      </w:r>
      <w:r>
        <w:fldChar w:fldCharType="end"/>
      </w:r>
    </w:p>
    <w:p w14:paraId="0D052221">
      <w:pPr>
        <w:pStyle w:val="4"/>
        <w:tabs>
          <w:tab w:val="left" w:pos="660"/>
          <w:tab w:val="right" w:leader="dot" w:pos="9913"/>
        </w:tabs>
        <w:rPr>
          <w:rFonts w:asciiTheme="minorHAnsi" w:hAnsiTheme="minorHAnsi" w:eastAsiaTheme="minorEastAsia" w:cstheme="minorBidi"/>
          <w:color w:val="auto"/>
        </w:rPr>
      </w:pPr>
      <w:r>
        <w:fldChar w:fldCharType="begin"/>
      </w:r>
      <w:r>
        <w:instrText xml:space="preserve"> HYPERLINK \l "_Toc41512316" </w:instrText>
      </w:r>
      <w:r>
        <w:fldChar w:fldCharType="separate"/>
      </w:r>
      <w:r>
        <w:rPr>
          <w:rStyle w:val="3"/>
          <w:rFonts w:ascii="Times New Roman" w:hAnsi="Times New Roman" w:cs="Times New Roman"/>
          <w:b/>
        </w:rPr>
        <w:t>IV.</w:t>
      </w:r>
      <w:r>
        <w:rPr>
          <w:rFonts w:asciiTheme="minorHAnsi" w:hAnsiTheme="minorHAnsi" w:eastAsiaTheme="minorEastAsia" w:cstheme="minorBidi"/>
          <w:color w:val="auto"/>
        </w:rPr>
        <w:tab/>
      </w:r>
      <w:r>
        <w:rPr>
          <w:rStyle w:val="3"/>
          <w:rFonts w:ascii="Times New Roman" w:hAnsi="Times New Roman" w:cs="Times New Roman"/>
          <w:b/>
        </w:rPr>
        <w:t>ÉTHIQUE D'AUDIT INTERNE - INTÉGRITÉ</w:t>
      </w:r>
      <w:r>
        <w:tab/>
      </w:r>
      <w:r>
        <w:fldChar w:fldCharType="begin"/>
      </w:r>
      <w:r>
        <w:instrText xml:space="preserve"> PAGEREF _Toc41512316 \h </w:instrText>
      </w:r>
      <w:r>
        <w:fldChar w:fldCharType="separate"/>
      </w:r>
      <w:r>
        <w:t>10</w:t>
      </w:r>
      <w:r>
        <w:fldChar w:fldCharType="end"/>
      </w:r>
      <w:r>
        <w:fldChar w:fldCharType="end"/>
      </w:r>
    </w:p>
    <w:p w14:paraId="18FAFCFE">
      <w:pPr>
        <w:pStyle w:val="4"/>
        <w:tabs>
          <w:tab w:val="left" w:pos="440"/>
          <w:tab w:val="right" w:leader="dot" w:pos="9913"/>
        </w:tabs>
        <w:rPr>
          <w:rFonts w:asciiTheme="minorHAnsi" w:hAnsiTheme="minorHAnsi" w:eastAsiaTheme="minorEastAsia" w:cstheme="minorBidi"/>
          <w:color w:val="auto"/>
        </w:rPr>
      </w:pPr>
      <w:r>
        <w:fldChar w:fldCharType="begin"/>
      </w:r>
      <w:r>
        <w:instrText xml:space="preserve"> HYPERLINK \l "_Toc41512317" </w:instrText>
      </w:r>
      <w:r>
        <w:fldChar w:fldCharType="separate"/>
      </w:r>
      <w:r>
        <w:rPr>
          <w:rStyle w:val="3"/>
          <w:rFonts w:ascii="Times New Roman" w:hAnsi="Times New Roman" w:cs="Times New Roman"/>
          <w:b/>
        </w:rPr>
        <w:t>V.</w:t>
      </w:r>
      <w:r>
        <w:rPr>
          <w:rFonts w:asciiTheme="minorHAnsi" w:hAnsiTheme="minorHAnsi" w:eastAsiaTheme="minorEastAsia" w:cstheme="minorBidi"/>
          <w:color w:val="auto"/>
        </w:rPr>
        <w:tab/>
      </w:r>
      <w:r>
        <w:rPr>
          <w:rStyle w:val="3"/>
          <w:rFonts w:ascii="Times New Roman" w:hAnsi="Times New Roman" w:cs="Times New Roman"/>
          <w:b/>
        </w:rPr>
        <w:t>ÉTHIQUE D'AUDIT INTERNE – OBJECTIVITE</w:t>
      </w:r>
      <w:r>
        <w:tab/>
      </w:r>
      <w:r>
        <w:fldChar w:fldCharType="begin"/>
      </w:r>
      <w:r>
        <w:instrText xml:space="preserve"> PAGEREF _Toc41512317 \h </w:instrText>
      </w:r>
      <w:r>
        <w:fldChar w:fldCharType="separate"/>
      </w:r>
      <w:r>
        <w:t>11</w:t>
      </w:r>
      <w:r>
        <w:fldChar w:fldCharType="end"/>
      </w:r>
      <w:r>
        <w:fldChar w:fldCharType="end"/>
      </w:r>
    </w:p>
    <w:p w14:paraId="6FC86E2B">
      <w:pPr>
        <w:pStyle w:val="4"/>
        <w:tabs>
          <w:tab w:val="left" w:pos="660"/>
          <w:tab w:val="right" w:leader="dot" w:pos="9913"/>
        </w:tabs>
        <w:rPr>
          <w:rFonts w:asciiTheme="minorHAnsi" w:hAnsiTheme="minorHAnsi" w:eastAsiaTheme="minorEastAsia" w:cstheme="minorBidi"/>
          <w:color w:val="auto"/>
        </w:rPr>
      </w:pPr>
      <w:r>
        <w:fldChar w:fldCharType="begin"/>
      </w:r>
      <w:r>
        <w:instrText xml:space="preserve"> HYPERLINK \l "_Toc41512318" </w:instrText>
      </w:r>
      <w:r>
        <w:fldChar w:fldCharType="separate"/>
      </w:r>
      <w:r>
        <w:rPr>
          <w:rStyle w:val="3"/>
          <w:rFonts w:ascii="Times New Roman" w:hAnsi="Times New Roman" w:cs="Times New Roman"/>
          <w:b/>
        </w:rPr>
        <w:t>VI.</w:t>
      </w:r>
      <w:r>
        <w:rPr>
          <w:rFonts w:asciiTheme="minorHAnsi" w:hAnsiTheme="minorHAnsi" w:eastAsiaTheme="minorEastAsia" w:cstheme="minorBidi"/>
          <w:color w:val="auto"/>
        </w:rPr>
        <w:tab/>
      </w:r>
      <w:r>
        <w:rPr>
          <w:rStyle w:val="3"/>
          <w:rFonts w:ascii="Times New Roman" w:hAnsi="Times New Roman" w:cs="Times New Roman"/>
          <w:b/>
        </w:rPr>
        <w:t>ÉTHIQUE D'AUDIT INTERNE - CONFIDENTIALITÉ</w:t>
      </w:r>
      <w:r>
        <w:tab/>
      </w:r>
      <w:r>
        <w:fldChar w:fldCharType="begin"/>
      </w:r>
      <w:r>
        <w:instrText xml:space="preserve"> PAGEREF _Toc41512318 \h </w:instrText>
      </w:r>
      <w:r>
        <w:fldChar w:fldCharType="separate"/>
      </w:r>
      <w:r>
        <w:t>13</w:t>
      </w:r>
      <w:r>
        <w:fldChar w:fldCharType="end"/>
      </w:r>
      <w:r>
        <w:fldChar w:fldCharType="end"/>
      </w:r>
    </w:p>
    <w:p w14:paraId="773755EA">
      <w:pPr>
        <w:pStyle w:val="4"/>
        <w:tabs>
          <w:tab w:val="left" w:pos="660"/>
          <w:tab w:val="right" w:leader="dot" w:pos="9913"/>
        </w:tabs>
        <w:rPr>
          <w:rFonts w:asciiTheme="minorHAnsi" w:hAnsiTheme="minorHAnsi" w:eastAsiaTheme="minorEastAsia" w:cstheme="minorBidi"/>
          <w:color w:val="auto"/>
        </w:rPr>
      </w:pPr>
      <w:r>
        <w:fldChar w:fldCharType="begin"/>
      </w:r>
      <w:r>
        <w:instrText xml:space="preserve"> HYPERLINK \l "_Toc41512319" </w:instrText>
      </w:r>
      <w:r>
        <w:fldChar w:fldCharType="separate"/>
      </w:r>
      <w:r>
        <w:rPr>
          <w:rStyle w:val="3"/>
          <w:rFonts w:ascii="Times New Roman" w:hAnsi="Times New Roman" w:cs="Times New Roman"/>
          <w:b/>
        </w:rPr>
        <w:t>VII.</w:t>
      </w:r>
      <w:r>
        <w:rPr>
          <w:rFonts w:asciiTheme="minorHAnsi" w:hAnsiTheme="minorHAnsi" w:eastAsiaTheme="minorEastAsia" w:cstheme="minorBidi"/>
          <w:color w:val="auto"/>
        </w:rPr>
        <w:tab/>
      </w:r>
      <w:r>
        <w:rPr>
          <w:rStyle w:val="3"/>
          <w:rFonts w:ascii="Times New Roman" w:hAnsi="Times New Roman" w:cs="Times New Roman"/>
          <w:b/>
        </w:rPr>
        <w:t>ÉTHIQUE D'AUDIT INTERNE - COMPÉTENCE</w:t>
      </w:r>
      <w:r>
        <w:tab/>
      </w:r>
      <w:r>
        <w:fldChar w:fldCharType="begin"/>
      </w:r>
      <w:r>
        <w:instrText xml:space="preserve"> PAGEREF _Toc41512319 \h </w:instrText>
      </w:r>
      <w:r>
        <w:fldChar w:fldCharType="separate"/>
      </w:r>
      <w:r>
        <w:t>14</w:t>
      </w:r>
      <w:r>
        <w:fldChar w:fldCharType="end"/>
      </w:r>
      <w:r>
        <w:fldChar w:fldCharType="end"/>
      </w:r>
    </w:p>
    <w:p w14:paraId="20E7DA3C">
      <w:pPr>
        <w:pStyle w:val="4"/>
        <w:tabs>
          <w:tab w:val="left" w:pos="880"/>
          <w:tab w:val="right" w:leader="dot" w:pos="9913"/>
        </w:tabs>
        <w:rPr>
          <w:rFonts w:asciiTheme="minorHAnsi" w:hAnsiTheme="minorHAnsi" w:eastAsiaTheme="minorEastAsia" w:cstheme="minorBidi"/>
          <w:color w:val="auto"/>
        </w:rPr>
      </w:pPr>
      <w:r>
        <w:fldChar w:fldCharType="begin"/>
      </w:r>
      <w:r>
        <w:instrText xml:space="preserve"> HYPERLINK \l "_Toc41512320" </w:instrText>
      </w:r>
      <w:r>
        <w:fldChar w:fldCharType="separate"/>
      </w:r>
      <w:r>
        <w:rPr>
          <w:rStyle w:val="3"/>
          <w:rFonts w:ascii="Times New Roman" w:hAnsi="Times New Roman" w:cs="Times New Roman"/>
          <w:b/>
        </w:rPr>
        <w:t>VIII.</w:t>
      </w:r>
      <w:r>
        <w:rPr>
          <w:rFonts w:asciiTheme="minorHAnsi" w:hAnsiTheme="minorHAnsi" w:eastAsiaTheme="minorEastAsia" w:cstheme="minorBidi"/>
          <w:color w:val="auto"/>
        </w:rPr>
        <w:tab/>
      </w:r>
      <w:r>
        <w:rPr>
          <w:rStyle w:val="3"/>
          <w:rFonts w:ascii="Times New Roman" w:hAnsi="Times New Roman" w:cs="Times New Roman"/>
          <w:b/>
        </w:rPr>
        <w:t>CHARTE D’AUDIT INTERNE</w:t>
      </w:r>
      <w:r>
        <w:tab/>
      </w:r>
      <w:r>
        <w:fldChar w:fldCharType="begin"/>
      </w:r>
      <w:r>
        <w:instrText xml:space="preserve"> PAGEREF _Toc41512320 \h </w:instrText>
      </w:r>
      <w:r>
        <w:fldChar w:fldCharType="separate"/>
      </w:r>
      <w:r>
        <w:t>15</w:t>
      </w:r>
      <w:r>
        <w:fldChar w:fldCharType="end"/>
      </w:r>
      <w:r>
        <w:fldChar w:fldCharType="end"/>
      </w:r>
    </w:p>
    <w:p w14:paraId="79ABFCB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fldChar w:fldCharType="end"/>
      </w:r>
    </w:p>
    <w:p w14:paraId="560C1A2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Cette unité d'étude couvre le </w:t>
      </w:r>
      <w:r>
        <w:rPr>
          <w:rFonts w:ascii="Times New Roman" w:hAnsi="Times New Roman" w:cs="Times New Roman"/>
          <w:b/>
          <w:sz w:val="26"/>
          <w:szCs w:val="26"/>
        </w:rPr>
        <w:t>domaine I : Fondements de l’audit interne d'</w:t>
      </w:r>
      <w:r>
        <w:rPr>
          <w:rFonts w:ascii="Times New Roman" w:hAnsi="Times New Roman" w:cs="Times New Roman"/>
          <w:sz w:val="26"/>
          <w:szCs w:val="26"/>
        </w:rPr>
        <w:t>après le programme de l'examen CIA de l'IIA. Ce domaine représente 15 % de la partie 1 de l'examen CIA et est évalué au niveau cognitif de</w:t>
      </w:r>
      <w:r>
        <w:rPr>
          <w:rFonts w:ascii="Times New Roman" w:hAnsi="Times New Roman" w:cs="Times New Roman"/>
          <w:b/>
          <w:sz w:val="26"/>
          <w:szCs w:val="26"/>
        </w:rPr>
        <w:t xml:space="preserve"> base</w:t>
      </w:r>
      <w:r>
        <w:rPr>
          <w:rFonts w:ascii="Times New Roman" w:hAnsi="Times New Roman" w:cs="Times New Roman"/>
          <w:sz w:val="26"/>
          <w:szCs w:val="26"/>
        </w:rPr>
        <w:t xml:space="preserve"> et de </w:t>
      </w:r>
      <w:r>
        <w:rPr>
          <w:rFonts w:ascii="Times New Roman" w:hAnsi="Times New Roman" w:cs="Times New Roman"/>
          <w:b/>
          <w:sz w:val="26"/>
          <w:szCs w:val="26"/>
        </w:rPr>
        <w:t xml:space="preserve">compétence. </w:t>
      </w:r>
      <w:r>
        <w:rPr>
          <w:rFonts w:ascii="Times New Roman" w:hAnsi="Times New Roman" w:cs="Times New Roman"/>
          <w:sz w:val="26"/>
          <w:szCs w:val="26"/>
        </w:rPr>
        <w:t>La partie pertinente du syllabus est mise en évidence ci-dessous. (Le programme complet se trouve à l'annexe B.)</w:t>
      </w:r>
    </w:p>
    <w:tbl>
      <w:tblPr>
        <w:tblStyle w:val="6"/>
        <w:tblW w:w="10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22" w:type="dxa"/>
          <w:bottom w:w="0" w:type="dxa"/>
          <w:right w:w="115" w:type="dxa"/>
        </w:tblCellMar>
      </w:tblPr>
      <w:tblGrid>
        <w:gridCol w:w="447"/>
        <w:gridCol w:w="455"/>
        <w:gridCol w:w="7882"/>
        <w:gridCol w:w="1410"/>
      </w:tblGrid>
      <w:tr w14:paraId="2A624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2" w:type="dxa"/>
            <w:bottom w:w="0" w:type="dxa"/>
            <w:right w:w="115" w:type="dxa"/>
          </w:tblCellMar>
        </w:tblPrEx>
        <w:trPr>
          <w:trHeight w:val="456" w:hRule="atLeast"/>
          <w:jc w:val="center"/>
        </w:trPr>
        <w:tc>
          <w:tcPr>
            <w:tcW w:w="447" w:type="dxa"/>
            <w:vMerge w:val="restart"/>
            <w:shd w:val="clear" w:color="auto" w:fill="DDDDDD"/>
            <w:vAlign w:val="center"/>
          </w:tcPr>
          <w:p w14:paraId="29534FD0">
            <w:pPr>
              <w:spacing w:before="120" w:after="120" w:line="288" w:lineRule="auto"/>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I</w:t>
            </w:r>
            <w:r>
              <w:rPr>
                <w:rFonts w:ascii="Times New Roman" w:hAnsi="Times New Roman" w:cs="Times New Roman" w:eastAsiaTheme="minorEastAsia"/>
                <w:sz w:val="24"/>
                <w:szCs w:val="24"/>
                <w:lang w:eastAsia="fr-FR"/>
              </w:rPr>
              <w:t xml:space="preserve"> </w:t>
            </w:r>
          </w:p>
        </w:tc>
        <w:tc>
          <w:tcPr>
            <w:tcW w:w="8337" w:type="dxa"/>
            <w:gridSpan w:val="2"/>
            <w:shd w:val="clear" w:color="auto" w:fill="DDDDDD"/>
          </w:tcPr>
          <w:p w14:paraId="7C29A0A5">
            <w:pPr>
              <w:spacing w:before="120" w:after="120" w:line="288" w:lineRule="auto"/>
              <w:ind w:left="1"/>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Fondements de l’audit interne (15 %)</w:t>
            </w:r>
            <w:r>
              <w:rPr>
                <w:rFonts w:ascii="Times New Roman" w:hAnsi="Times New Roman" w:cs="Times New Roman" w:eastAsiaTheme="minorEastAsia"/>
                <w:sz w:val="24"/>
                <w:szCs w:val="24"/>
                <w:lang w:eastAsia="fr-FR"/>
              </w:rPr>
              <w:t xml:space="preserve"> </w:t>
            </w:r>
          </w:p>
        </w:tc>
        <w:tc>
          <w:tcPr>
            <w:tcW w:w="1410" w:type="dxa"/>
            <w:shd w:val="clear" w:color="auto" w:fill="DDDDDD"/>
          </w:tcPr>
          <w:p w14:paraId="6404E216">
            <w:pPr>
              <w:spacing w:before="120" w:after="120" w:line="288" w:lineRule="auto"/>
              <w:ind w:left="1"/>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sz w:val="24"/>
                <w:szCs w:val="24"/>
                <w:lang w:eastAsia="fr-FR"/>
              </w:rPr>
              <w:t xml:space="preserve"> </w:t>
            </w:r>
          </w:p>
        </w:tc>
      </w:tr>
      <w:tr w14:paraId="71C1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2" w:type="dxa"/>
            <w:bottom w:w="0" w:type="dxa"/>
            <w:right w:w="115" w:type="dxa"/>
          </w:tblCellMar>
        </w:tblPrEx>
        <w:trPr>
          <w:trHeight w:val="907" w:hRule="atLeast"/>
          <w:jc w:val="center"/>
        </w:trPr>
        <w:tc>
          <w:tcPr>
            <w:tcW w:w="0" w:type="auto"/>
            <w:vMerge w:val="continue"/>
            <w:vAlign w:val="center"/>
          </w:tcPr>
          <w:p w14:paraId="1676DD35">
            <w:pPr>
              <w:spacing w:before="120" w:after="120" w:line="288" w:lineRule="auto"/>
              <w:rPr>
                <w:rFonts w:ascii="Times New Roman" w:hAnsi="Times New Roman" w:cs="Times New Roman" w:eastAsiaTheme="minorEastAsia"/>
                <w:sz w:val="24"/>
                <w:szCs w:val="24"/>
                <w:lang w:eastAsia="fr-FR"/>
              </w:rPr>
            </w:pPr>
          </w:p>
        </w:tc>
        <w:tc>
          <w:tcPr>
            <w:tcW w:w="455" w:type="dxa"/>
            <w:shd w:val="clear" w:color="auto" w:fill="DDDDDD"/>
            <w:vAlign w:val="center"/>
          </w:tcPr>
          <w:p w14:paraId="691105B4">
            <w:pPr>
              <w:spacing w:before="120" w:after="120" w:line="288" w:lineRule="auto"/>
              <w:ind w:left="32"/>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A</w:t>
            </w:r>
            <w:r>
              <w:rPr>
                <w:rFonts w:ascii="Times New Roman" w:hAnsi="Times New Roman" w:cs="Times New Roman" w:eastAsiaTheme="minorEastAsia"/>
                <w:sz w:val="24"/>
                <w:szCs w:val="24"/>
                <w:lang w:eastAsia="fr-FR"/>
              </w:rPr>
              <w:t xml:space="preserve"> </w:t>
            </w:r>
          </w:p>
        </w:tc>
        <w:tc>
          <w:tcPr>
            <w:tcW w:w="7882" w:type="dxa"/>
            <w:shd w:val="clear" w:color="auto" w:fill="DDDDDD"/>
          </w:tcPr>
          <w:p w14:paraId="4D14C738">
            <w:pPr>
              <w:spacing w:before="120" w:after="120" w:line="288" w:lineRule="auto"/>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Interpréter la mission de l'IIA en matière d'audit interne, la définition de l'audit interne et les principes fondamentaux pour la pratique professionnelle de l'audit interne, ainsi que le but, l'autorité et la responsabilité de l'audit interne.</w:t>
            </w:r>
            <w:r>
              <w:rPr>
                <w:rFonts w:ascii="Times New Roman" w:hAnsi="Times New Roman" w:cs="Times New Roman" w:eastAsiaTheme="minorEastAsia"/>
                <w:sz w:val="24"/>
                <w:szCs w:val="24"/>
                <w:lang w:eastAsia="fr-FR"/>
              </w:rPr>
              <w:t xml:space="preserve"> </w:t>
            </w:r>
          </w:p>
        </w:tc>
        <w:tc>
          <w:tcPr>
            <w:tcW w:w="1410" w:type="dxa"/>
            <w:shd w:val="clear" w:color="auto" w:fill="DDDDDD"/>
            <w:vAlign w:val="center"/>
          </w:tcPr>
          <w:p w14:paraId="312BA0B6">
            <w:pPr>
              <w:spacing w:before="120" w:after="120" w:line="288" w:lineRule="auto"/>
              <w:ind w:left="39"/>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Compétent</w:t>
            </w:r>
            <w:r>
              <w:rPr>
                <w:rFonts w:ascii="Times New Roman" w:hAnsi="Times New Roman" w:cs="Times New Roman" w:eastAsiaTheme="minorEastAsia"/>
                <w:sz w:val="24"/>
                <w:szCs w:val="24"/>
                <w:lang w:eastAsia="fr-FR"/>
              </w:rPr>
              <w:t xml:space="preserve"> </w:t>
            </w:r>
          </w:p>
        </w:tc>
      </w:tr>
      <w:tr w14:paraId="0CB4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2" w:type="dxa"/>
            <w:bottom w:w="0" w:type="dxa"/>
            <w:right w:w="115" w:type="dxa"/>
          </w:tblCellMar>
        </w:tblPrEx>
        <w:trPr>
          <w:trHeight w:val="642" w:hRule="atLeast"/>
          <w:jc w:val="center"/>
        </w:trPr>
        <w:tc>
          <w:tcPr>
            <w:tcW w:w="0" w:type="auto"/>
            <w:vMerge w:val="continue"/>
            <w:vAlign w:val="center"/>
          </w:tcPr>
          <w:p w14:paraId="1CB9D772">
            <w:pPr>
              <w:spacing w:before="120" w:after="120" w:line="288" w:lineRule="auto"/>
              <w:rPr>
                <w:rFonts w:ascii="Times New Roman" w:hAnsi="Times New Roman" w:cs="Times New Roman" w:eastAsiaTheme="minorEastAsia"/>
                <w:sz w:val="24"/>
                <w:szCs w:val="24"/>
                <w:lang w:eastAsia="fr-FR"/>
              </w:rPr>
            </w:pPr>
          </w:p>
        </w:tc>
        <w:tc>
          <w:tcPr>
            <w:tcW w:w="455" w:type="dxa"/>
            <w:shd w:val="clear" w:color="auto" w:fill="DDDDDD"/>
            <w:vAlign w:val="center"/>
          </w:tcPr>
          <w:p w14:paraId="208B0144">
            <w:pPr>
              <w:spacing w:before="120" w:after="120" w:line="288" w:lineRule="auto"/>
              <w:ind w:left="32"/>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B</w:t>
            </w:r>
            <w:r>
              <w:rPr>
                <w:rFonts w:ascii="Times New Roman" w:hAnsi="Times New Roman" w:cs="Times New Roman" w:eastAsiaTheme="minorEastAsia"/>
                <w:sz w:val="24"/>
                <w:szCs w:val="24"/>
                <w:lang w:eastAsia="fr-FR"/>
              </w:rPr>
              <w:t xml:space="preserve"> </w:t>
            </w:r>
          </w:p>
        </w:tc>
        <w:tc>
          <w:tcPr>
            <w:tcW w:w="7882" w:type="dxa"/>
            <w:shd w:val="clear" w:color="auto" w:fill="DDDDDD"/>
          </w:tcPr>
          <w:p w14:paraId="0FBC40CF">
            <w:pPr>
              <w:spacing w:before="120" w:after="120" w:line="288" w:lineRule="auto"/>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Expliquer les exigences d'une charte d’audit interne (composantes requises, approbation du conseil, communication de la charte, etc.)</w:t>
            </w:r>
            <w:r>
              <w:rPr>
                <w:rFonts w:ascii="Times New Roman" w:hAnsi="Times New Roman" w:cs="Times New Roman" w:eastAsiaTheme="minorEastAsia"/>
                <w:sz w:val="24"/>
                <w:szCs w:val="24"/>
                <w:lang w:eastAsia="fr-FR"/>
              </w:rPr>
              <w:t xml:space="preserve"> </w:t>
            </w:r>
          </w:p>
        </w:tc>
        <w:tc>
          <w:tcPr>
            <w:tcW w:w="1410" w:type="dxa"/>
            <w:shd w:val="clear" w:color="auto" w:fill="DDDDDD"/>
            <w:vAlign w:val="center"/>
          </w:tcPr>
          <w:p w14:paraId="440EF408">
            <w:pPr>
              <w:spacing w:before="120" w:after="120" w:line="288" w:lineRule="auto"/>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De base</w:t>
            </w:r>
            <w:r>
              <w:rPr>
                <w:rFonts w:ascii="Times New Roman" w:hAnsi="Times New Roman" w:cs="Times New Roman" w:eastAsiaTheme="minorEastAsia"/>
                <w:sz w:val="24"/>
                <w:szCs w:val="24"/>
                <w:lang w:eastAsia="fr-FR"/>
              </w:rPr>
              <w:t xml:space="preserve"> </w:t>
            </w:r>
          </w:p>
        </w:tc>
      </w:tr>
      <w:tr w14:paraId="3A305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2" w:type="dxa"/>
            <w:bottom w:w="0" w:type="dxa"/>
            <w:right w:w="115" w:type="dxa"/>
          </w:tblCellMar>
        </w:tblPrEx>
        <w:trPr>
          <w:trHeight w:val="685" w:hRule="atLeast"/>
          <w:jc w:val="center"/>
        </w:trPr>
        <w:tc>
          <w:tcPr>
            <w:tcW w:w="0" w:type="auto"/>
            <w:vMerge w:val="continue"/>
            <w:vAlign w:val="center"/>
          </w:tcPr>
          <w:p w14:paraId="0832E07D">
            <w:pPr>
              <w:spacing w:before="120" w:after="120" w:line="288" w:lineRule="auto"/>
              <w:rPr>
                <w:rFonts w:ascii="Times New Roman" w:hAnsi="Times New Roman" w:cs="Times New Roman" w:eastAsiaTheme="minorEastAsia"/>
                <w:sz w:val="24"/>
                <w:szCs w:val="24"/>
                <w:lang w:eastAsia="fr-FR"/>
              </w:rPr>
            </w:pPr>
          </w:p>
        </w:tc>
        <w:tc>
          <w:tcPr>
            <w:tcW w:w="455" w:type="dxa"/>
            <w:shd w:val="clear" w:color="auto" w:fill="DDDDDD"/>
            <w:vAlign w:val="center"/>
          </w:tcPr>
          <w:p w14:paraId="22DAD269">
            <w:pPr>
              <w:spacing w:before="120" w:after="120" w:line="288" w:lineRule="auto"/>
              <w:ind w:left="32"/>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C</w:t>
            </w:r>
            <w:r>
              <w:rPr>
                <w:rFonts w:ascii="Times New Roman" w:hAnsi="Times New Roman" w:cs="Times New Roman" w:eastAsiaTheme="minorEastAsia"/>
                <w:sz w:val="24"/>
                <w:szCs w:val="24"/>
                <w:lang w:eastAsia="fr-FR"/>
              </w:rPr>
              <w:t xml:space="preserve"> </w:t>
            </w:r>
          </w:p>
        </w:tc>
        <w:tc>
          <w:tcPr>
            <w:tcW w:w="7882" w:type="dxa"/>
            <w:shd w:val="clear" w:color="auto" w:fill="DDDDDD"/>
          </w:tcPr>
          <w:p w14:paraId="3FC6C60F">
            <w:pPr>
              <w:spacing w:before="120" w:after="120" w:line="288" w:lineRule="auto"/>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Interpréter la différence entre les services d’assurance et les services de conseil fournis par l'activité d’audit interne.</w:t>
            </w:r>
            <w:r>
              <w:rPr>
                <w:rFonts w:ascii="Times New Roman" w:hAnsi="Times New Roman" w:cs="Times New Roman" w:eastAsiaTheme="minorEastAsia"/>
                <w:sz w:val="24"/>
                <w:szCs w:val="24"/>
                <w:lang w:eastAsia="fr-FR"/>
              </w:rPr>
              <w:t xml:space="preserve"> </w:t>
            </w:r>
          </w:p>
        </w:tc>
        <w:tc>
          <w:tcPr>
            <w:tcW w:w="1410" w:type="dxa"/>
            <w:shd w:val="clear" w:color="auto" w:fill="DDDDDD"/>
            <w:vAlign w:val="center"/>
          </w:tcPr>
          <w:p w14:paraId="47A904F7">
            <w:pPr>
              <w:spacing w:before="120" w:after="120" w:line="288" w:lineRule="auto"/>
              <w:ind w:left="39"/>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Compétent</w:t>
            </w:r>
            <w:r>
              <w:rPr>
                <w:rFonts w:ascii="Times New Roman" w:hAnsi="Times New Roman" w:cs="Times New Roman" w:eastAsiaTheme="minorEastAsia"/>
                <w:sz w:val="24"/>
                <w:szCs w:val="24"/>
                <w:lang w:eastAsia="fr-FR"/>
              </w:rPr>
              <w:t xml:space="preserve"> </w:t>
            </w:r>
          </w:p>
        </w:tc>
      </w:tr>
      <w:tr w14:paraId="4976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2" w:type="dxa"/>
            <w:bottom w:w="0" w:type="dxa"/>
            <w:right w:w="115" w:type="dxa"/>
          </w:tblCellMar>
        </w:tblPrEx>
        <w:trPr>
          <w:trHeight w:val="543" w:hRule="atLeast"/>
          <w:jc w:val="center"/>
        </w:trPr>
        <w:tc>
          <w:tcPr>
            <w:tcW w:w="0" w:type="auto"/>
            <w:vMerge w:val="continue"/>
            <w:vAlign w:val="center"/>
          </w:tcPr>
          <w:p w14:paraId="6B9C155D">
            <w:pPr>
              <w:spacing w:before="120" w:after="120" w:line="288" w:lineRule="auto"/>
              <w:rPr>
                <w:rFonts w:ascii="Times New Roman" w:hAnsi="Times New Roman" w:cs="Times New Roman" w:eastAsiaTheme="minorEastAsia"/>
                <w:sz w:val="24"/>
                <w:szCs w:val="24"/>
                <w:lang w:eastAsia="fr-FR"/>
              </w:rPr>
            </w:pPr>
          </w:p>
        </w:tc>
        <w:tc>
          <w:tcPr>
            <w:tcW w:w="455" w:type="dxa"/>
            <w:shd w:val="clear" w:color="auto" w:fill="DDDDDD"/>
          </w:tcPr>
          <w:p w14:paraId="5DEC79C2">
            <w:pPr>
              <w:spacing w:before="120" w:after="120" w:line="288" w:lineRule="auto"/>
              <w:ind w:left="32"/>
              <w:jc w:val="both"/>
              <w:rPr>
                <w:rFonts w:ascii="Times New Roman" w:hAnsi="Times New Roman" w:cs="Times New Roman" w:eastAsiaTheme="minorEastAsia"/>
                <w:b/>
                <w:sz w:val="24"/>
                <w:szCs w:val="24"/>
                <w:lang w:eastAsia="fr-FR"/>
              </w:rPr>
            </w:pPr>
            <w:r>
              <w:rPr>
                <w:rFonts w:ascii="Times New Roman" w:hAnsi="Times New Roman" w:cs="Times New Roman" w:eastAsiaTheme="minorEastAsia"/>
                <w:b/>
                <w:sz w:val="24"/>
                <w:szCs w:val="24"/>
                <w:lang w:eastAsia="fr-FR"/>
              </w:rPr>
              <w:t>D</w:t>
            </w:r>
            <w:r>
              <w:rPr>
                <w:rFonts w:ascii="Times New Roman" w:hAnsi="Times New Roman" w:cs="Times New Roman" w:eastAsiaTheme="minorEastAsia"/>
                <w:sz w:val="24"/>
                <w:szCs w:val="24"/>
                <w:lang w:eastAsia="fr-FR"/>
              </w:rPr>
              <w:t xml:space="preserve"> </w:t>
            </w:r>
          </w:p>
        </w:tc>
        <w:tc>
          <w:tcPr>
            <w:tcW w:w="7882" w:type="dxa"/>
            <w:shd w:val="clear" w:color="auto" w:fill="DDDDDD"/>
          </w:tcPr>
          <w:p w14:paraId="5407F3BF">
            <w:pPr>
              <w:spacing w:before="120" w:after="120" w:line="288" w:lineRule="auto"/>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Démontrer la conformité au Code de déontologie de l'IIA</w:t>
            </w:r>
            <w:r>
              <w:rPr>
                <w:rFonts w:ascii="Times New Roman" w:hAnsi="Times New Roman" w:cs="Times New Roman" w:eastAsiaTheme="minorEastAsia"/>
                <w:sz w:val="24"/>
                <w:szCs w:val="24"/>
                <w:lang w:eastAsia="fr-FR"/>
              </w:rPr>
              <w:t xml:space="preserve"> </w:t>
            </w:r>
          </w:p>
        </w:tc>
        <w:tc>
          <w:tcPr>
            <w:tcW w:w="1410" w:type="dxa"/>
            <w:shd w:val="clear" w:color="auto" w:fill="DDDDDD"/>
          </w:tcPr>
          <w:p w14:paraId="501ED248">
            <w:pPr>
              <w:spacing w:before="120" w:after="120" w:line="288" w:lineRule="auto"/>
              <w:ind w:left="39"/>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Compétent</w:t>
            </w:r>
            <w:r>
              <w:rPr>
                <w:rFonts w:ascii="Times New Roman" w:hAnsi="Times New Roman" w:cs="Times New Roman" w:eastAsiaTheme="minorEastAsia"/>
                <w:sz w:val="24"/>
                <w:szCs w:val="24"/>
                <w:lang w:eastAsia="fr-FR"/>
              </w:rPr>
              <w:t xml:space="preserve"> </w:t>
            </w:r>
          </w:p>
        </w:tc>
      </w:tr>
    </w:tbl>
    <w:p w14:paraId="4F73FC10">
      <w:pPr>
        <w:spacing w:before="120" w:after="120" w:line="288" w:lineRule="auto"/>
        <w:jc w:val="both"/>
        <w:rPr>
          <w:rFonts w:ascii="Times New Roman" w:hAnsi="Times New Roman" w:cs="Times New Roman"/>
          <w:sz w:val="26"/>
          <w:szCs w:val="26"/>
        </w:rPr>
      </w:pPr>
    </w:p>
    <w:p w14:paraId="2F99CD9A">
      <w:pPr>
        <w:spacing w:before="120" w:after="120" w:line="288" w:lineRule="auto"/>
        <w:rPr>
          <w:rFonts w:ascii="Times New Roman" w:hAnsi="Times New Roman" w:cs="Times New Roman"/>
          <w:sz w:val="26"/>
          <w:szCs w:val="26"/>
        </w:rPr>
      </w:pPr>
      <w:r>
        <w:rPr>
          <w:rFonts w:ascii="Times New Roman" w:hAnsi="Times New Roman" w:cs="Times New Roman"/>
          <w:sz w:val="26"/>
          <w:szCs w:val="26"/>
        </w:rPr>
        <w:br w:type="page"/>
      </w:r>
    </w:p>
    <w:p w14:paraId="3A7153FA">
      <w:pPr>
        <w:pStyle w:val="7"/>
        <w:numPr>
          <w:ilvl w:val="1"/>
          <w:numId w:val="1"/>
        </w:numPr>
        <w:spacing w:before="120" w:after="120" w:line="288" w:lineRule="auto"/>
        <w:ind w:left="284" w:hanging="284"/>
        <w:contextualSpacing w:val="0"/>
        <w:jc w:val="both"/>
        <w:outlineLvl w:val="0"/>
        <w:rPr>
          <w:rFonts w:ascii="Times New Roman" w:hAnsi="Times New Roman" w:cs="Times New Roman"/>
          <w:sz w:val="26"/>
          <w:szCs w:val="26"/>
        </w:rPr>
      </w:pPr>
      <w:bookmarkStart w:id="0" w:name="_Toc41512313"/>
      <w:r>
        <w:rPr>
          <w:rFonts w:ascii="Times New Roman" w:hAnsi="Times New Roman" w:cs="Times New Roman"/>
          <w:b/>
          <w:sz w:val="26"/>
          <w:szCs w:val="26"/>
        </w:rPr>
        <w:t>LIGNES DIRECTRICES APPLICABLES</w:t>
      </w:r>
      <w:bookmarkEnd w:id="0"/>
      <w:r>
        <w:rPr>
          <w:rFonts w:ascii="Times New Roman" w:hAnsi="Times New Roman" w:cs="Times New Roman"/>
          <w:sz w:val="26"/>
          <w:szCs w:val="26"/>
        </w:rPr>
        <w:t xml:space="preserve"> </w:t>
      </w:r>
    </w:p>
    <w:p w14:paraId="28AF7F27">
      <w:pPr>
        <w:pStyle w:val="7"/>
        <w:numPr>
          <w:ilvl w:val="0"/>
          <w:numId w:val="2"/>
        </w:numPr>
        <w:spacing w:before="120" w:after="120" w:line="288" w:lineRule="auto"/>
        <w:ind w:left="1020"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Cadre international des pratiques professionnelles (CRIPP)</w:t>
      </w:r>
      <w:r>
        <w:rPr>
          <w:rFonts w:ascii="Times New Roman" w:hAnsi="Times New Roman" w:cs="Times New Roman"/>
          <w:sz w:val="26"/>
          <w:szCs w:val="26"/>
        </w:rPr>
        <w:t xml:space="preserve"> </w:t>
      </w:r>
    </w:p>
    <w:p w14:paraId="6FADD32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L'Institut des auditeurs internes (IIA) définit la </w:t>
      </w:r>
      <w:r>
        <w:rPr>
          <w:rFonts w:ascii="Times New Roman" w:hAnsi="Times New Roman" w:cs="Times New Roman"/>
          <w:b/>
          <w:sz w:val="26"/>
          <w:szCs w:val="26"/>
        </w:rPr>
        <w:t xml:space="preserve">mission de </w:t>
      </w:r>
      <w:r>
        <w:rPr>
          <w:rFonts w:ascii="Times New Roman" w:hAnsi="Times New Roman" w:cs="Times New Roman"/>
          <w:sz w:val="26"/>
          <w:szCs w:val="26"/>
        </w:rPr>
        <w:t xml:space="preserve">l'audit interne comme suit : </w:t>
      </w:r>
    </w:p>
    <w:p w14:paraId="7A89A2A1">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Améliorer et protéger la valeur de l'organisation en fournissant une assurance, des conseils et des renseignements objectifs et fondés sur le risque. </w:t>
      </w:r>
    </w:p>
    <w:p w14:paraId="0D30EE42">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CRIPP facilite l'accomplissement de cette mission. </w:t>
      </w:r>
    </w:p>
    <w:p w14:paraId="2930FF8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CRIPP organise les directives faisant autorité de l'IIA pour qu'il soit accessible et renforce l'IIA en tant qu'organisme mondial de normalisation. Le CRIPP contient des directives </w:t>
      </w:r>
      <w:r>
        <w:rPr>
          <w:rFonts w:ascii="Times New Roman" w:hAnsi="Times New Roman" w:cs="Times New Roman"/>
          <w:b/>
          <w:sz w:val="26"/>
          <w:szCs w:val="26"/>
        </w:rPr>
        <w:t>obligatoires</w:t>
      </w:r>
      <w:r>
        <w:rPr>
          <w:rFonts w:ascii="Times New Roman" w:hAnsi="Times New Roman" w:cs="Times New Roman"/>
          <w:sz w:val="26"/>
          <w:szCs w:val="26"/>
        </w:rPr>
        <w:t xml:space="preserve"> et des directives </w:t>
      </w:r>
      <w:r>
        <w:rPr>
          <w:rFonts w:ascii="Times New Roman" w:hAnsi="Times New Roman" w:cs="Times New Roman"/>
          <w:b/>
          <w:sz w:val="26"/>
          <w:szCs w:val="26"/>
        </w:rPr>
        <w:t>fortement recommandées</w:t>
      </w:r>
      <w:r>
        <w:rPr>
          <w:rFonts w:ascii="Times New Roman" w:hAnsi="Times New Roman" w:cs="Times New Roman"/>
          <w:sz w:val="26"/>
          <w:szCs w:val="26"/>
        </w:rPr>
        <w:t xml:space="preserve">. </w:t>
      </w:r>
    </w:p>
    <w:p w14:paraId="57C744DE">
      <w:pPr>
        <w:spacing w:before="120" w:after="120" w:line="288"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390900" cy="35814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390900" cy="3581400"/>
                    </a:xfrm>
                    <a:prstGeom prst="rect">
                      <a:avLst/>
                    </a:prstGeom>
                    <a:noFill/>
                    <a:ln>
                      <a:noFill/>
                    </a:ln>
                  </pic:spPr>
                </pic:pic>
              </a:graphicData>
            </a:graphic>
          </wp:inline>
        </w:drawing>
      </w:r>
    </w:p>
    <w:tbl>
      <w:tblPr>
        <w:tblStyle w:val="8"/>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17CE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12A9D14B">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sz w:val="26"/>
                <w:szCs w:val="26"/>
                <w:lang w:eastAsia="fr-FR"/>
              </w:rPr>
              <w:t>La connaissance du CRIPP est importante pour comprendre et distinguer les éléments des directives faisant autorité en matière d'audit interne. Mais il est plus important que vous compreniez et que vous puissiez appliquer avec précision le contenu du CRIPP. Les parties 1 et 2 de l'examen CIA portent principalement sur la compréhension et l'application du contenu du CRIPP.</w:t>
            </w:r>
          </w:p>
        </w:tc>
      </w:tr>
    </w:tbl>
    <w:p w14:paraId="756D7BC4">
      <w:pPr>
        <w:pStyle w:val="7"/>
        <w:numPr>
          <w:ilvl w:val="0"/>
          <w:numId w:val="2"/>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Orientation</w:t>
      </w:r>
    </w:p>
    <w:p w14:paraId="0431FCC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respect des directives obligatoires est essentiel pour la pratique professionnelle de l’audit interne. </w:t>
      </w:r>
    </w:p>
    <w:p w14:paraId="0CBBFBD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lignes directrices obligatoires comprennent quatre éléments : les Principes fondamentaux pour la pratique professionnelle de l'audit interne, la Définition de l'audit interne, le Code de déontologie et les </w:t>
      </w:r>
      <w:r>
        <w:rPr>
          <w:rFonts w:ascii="Times New Roman" w:hAnsi="Times New Roman" w:cs="Times New Roman"/>
          <w:i/>
          <w:sz w:val="26"/>
          <w:szCs w:val="26"/>
        </w:rPr>
        <w:t>Normes</w:t>
      </w:r>
      <w:r>
        <w:rPr>
          <w:rFonts w:ascii="Times New Roman" w:hAnsi="Times New Roman" w:cs="Times New Roman"/>
          <w:sz w:val="26"/>
          <w:szCs w:val="26"/>
        </w:rPr>
        <w:t xml:space="preserve">. Les </w:t>
      </w:r>
      <w:r>
        <w:rPr>
          <w:rFonts w:ascii="Times New Roman" w:hAnsi="Times New Roman" w:cs="Times New Roman"/>
          <w:b/>
          <w:sz w:val="26"/>
          <w:szCs w:val="26"/>
        </w:rPr>
        <w:t>principes fondamentaux</w:t>
      </w:r>
      <w:r>
        <w:rPr>
          <w:rFonts w:ascii="Times New Roman" w:hAnsi="Times New Roman" w:cs="Times New Roman"/>
          <w:sz w:val="26"/>
          <w:szCs w:val="26"/>
        </w:rPr>
        <w:t xml:space="preserve"> sont à la base de l'efficacité de l’audit interne. La fonction d’audit interne est efficace si tous les principes sont présents et fonctionnent efficacement. Les principes fondamentaux sont les suivants : </w:t>
      </w:r>
    </w:p>
    <w:p w14:paraId="22B9703A">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Faire preuve d'intégrité.</w:t>
      </w:r>
    </w:p>
    <w:p w14:paraId="3F1323FB">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Faire preuve de compétence et de soin professionnel.</w:t>
      </w:r>
    </w:p>
    <w:p w14:paraId="5C5835E4">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Est objectif et libre de toute influence indue (indépendant).</w:t>
      </w:r>
    </w:p>
    <w:p w14:paraId="3F184046">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S'aligne sur les stratégies, les objectifs et les risques de l'organisation.</w:t>
      </w:r>
    </w:p>
    <w:p w14:paraId="20668C1B">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Est correctement positionné et doté de ressources suffisantes.</w:t>
      </w:r>
    </w:p>
    <w:p w14:paraId="1919B703">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Fait preuve de qualité et d'amélioration continue.</w:t>
      </w:r>
    </w:p>
    <w:p w14:paraId="0A8EA158">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Communiquer efficacement.</w:t>
      </w:r>
    </w:p>
    <w:p w14:paraId="1CD069BD">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Fournit une assurance basée sur les risques.</w:t>
      </w:r>
    </w:p>
    <w:p w14:paraId="0275370E">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Est perspicace, proactif et tourné vers l'avenir.</w:t>
      </w:r>
    </w:p>
    <w:p w14:paraId="65CDBAD2">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Favorise l'amélioration organisationnelle. »</w:t>
      </w:r>
    </w:p>
    <w:p w14:paraId="208506F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définition de l'audit interne</w:t>
      </w:r>
      <w:r>
        <w:rPr>
          <w:rFonts w:ascii="Times New Roman" w:hAnsi="Times New Roman" w:cs="Times New Roman"/>
          <w:sz w:val="26"/>
          <w:szCs w:val="26"/>
        </w:rPr>
        <w:t xml:space="preserve"> est un énoncé concis du rôle de l'activité d'audit interne dans l'organisation. </w:t>
      </w:r>
    </w:p>
    <w:tbl>
      <w:tblPr>
        <w:tblStyle w:val="8"/>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4FE7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2A695287">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Définition de l'audit interne</w:t>
            </w:r>
          </w:p>
          <w:p w14:paraId="258FD73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L’audit interne est une activité indépendante et objective qui donne à une organisation une assurance sur le degré de maîtrise de ses opérations, lui apporte ses conseils pour les améliorer, et contribue à créer de la valeur ajoutée.</w:t>
            </w:r>
          </w:p>
          <w:p w14:paraId="1A4122F8">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Il aide cette organisation à atteindre ses objectifs en évaluant, par une approche systématique et méthodique, ses processus de </w:t>
            </w:r>
            <w:r>
              <w:rPr>
                <w:rFonts w:ascii="Times New Roman" w:hAnsi="Times New Roman" w:cs="Times New Roman" w:eastAsiaTheme="minorEastAsia"/>
                <w:b/>
                <w:sz w:val="26"/>
                <w:szCs w:val="26"/>
                <w:lang w:eastAsia="fr-FR"/>
              </w:rPr>
              <w:t>management des risques, de contrôle, et de gouvernement d’entreprise</w:t>
            </w:r>
            <w:r>
              <w:rPr>
                <w:rFonts w:ascii="Times New Roman" w:hAnsi="Times New Roman" w:cs="Times New Roman" w:eastAsiaTheme="minorEastAsia"/>
                <w:sz w:val="26"/>
                <w:szCs w:val="26"/>
                <w:lang w:eastAsia="fr-FR"/>
              </w:rPr>
              <w:t>, et en faisant des propositions pour renforcer leur efficacité.</w:t>
            </w:r>
          </w:p>
        </w:tc>
      </w:tr>
    </w:tbl>
    <w:p w14:paraId="73FB315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texte détaillé du </w:t>
      </w:r>
      <w:r>
        <w:rPr>
          <w:rFonts w:ascii="Times New Roman" w:hAnsi="Times New Roman" w:cs="Times New Roman"/>
          <w:b/>
          <w:sz w:val="26"/>
          <w:szCs w:val="26"/>
        </w:rPr>
        <w:t>Code de déontologie</w:t>
      </w:r>
      <w:r>
        <w:rPr>
          <w:rFonts w:ascii="Times New Roman" w:hAnsi="Times New Roman" w:cs="Times New Roman"/>
          <w:sz w:val="26"/>
          <w:szCs w:val="26"/>
        </w:rPr>
        <w:t xml:space="preserve"> se trouve dans les sous-unités II à VII. </w:t>
      </w:r>
    </w:p>
    <w:p w14:paraId="06A0639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w:t>
      </w:r>
      <w:r>
        <w:rPr>
          <w:rFonts w:ascii="Times New Roman" w:hAnsi="Times New Roman" w:cs="Times New Roman"/>
          <w:b/>
          <w:i/>
          <w:sz w:val="26"/>
          <w:szCs w:val="26"/>
        </w:rPr>
        <w:t>normes</w:t>
      </w:r>
      <w:r>
        <w:rPr>
          <w:rFonts w:ascii="Times New Roman" w:hAnsi="Times New Roman" w:cs="Times New Roman"/>
          <w:sz w:val="26"/>
          <w:szCs w:val="26"/>
        </w:rPr>
        <w:t xml:space="preserve"> (officiellement connues sous le nom de </w:t>
      </w:r>
      <w:r>
        <w:rPr>
          <w:rFonts w:ascii="Times New Roman" w:hAnsi="Times New Roman" w:cs="Times New Roman"/>
          <w:i/>
          <w:sz w:val="26"/>
          <w:szCs w:val="26"/>
        </w:rPr>
        <w:t>Normes internationales pour la pratique professionnelle de l'audit interne</w:t>
      </w:r>
      <w:r>
        <w:rPr>
          <w:rFonts w:ascii="Times New Roman" w:hAnsi="Times New Roman" w:cs="Times New Roman"/>
          <w:sz w:val="26"/>
          <w:szCs w:val="26"/>
        </w:rPr>
        <w:t xml:space="preserve">) servent les quatre objectifs suivants décrits par l'IIA : </w:t>
      </w:r>
    </w:p>
    <w:tbl>
      <w:tblPr>
        <w:tblStyle w:val="8"/>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635C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52189BD9">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Objet des normes</w:t>
            </w:r>
          </w:p>
          <w:p w14:paraId="151FBC6F">
            <w:pPr>
              <w:pStyle w:val="7"/>
              <w:numPr>
                <w:ilvl w:val="0"/>
                <w:numId w:val="4"/>
              </w:numPr>
              <w:spacing w:before="120" w:after="120" w:line="288" w:lineRule="auto"/>
              <w:ind w:left="313"/>
              <w:contextualSpacing w:val="0"/>
              <w:jc w:val="both"/>
              <w:outlineLvl w:val="1"/>
              <w:rPr>
                <w:rFonts w:ascii="Times New Roman" w:hAnsi="Times New Roman" w:cs="Times New Roman"/>
                <w:sz w:val="26"/>
                <w:szCs w:val="26"/>
              </w:rPr>
            </w:pPr>
            <w:r>
              <w:rPr>
                <w:rFonts w:ascii="Times New Roman" w:hAnsi="Times New Roman" w:cs="Times New Roman"/>
                <w:sz w:val="26"/>
                <w:szCs w:val="26"/>
              </w:rPr>
              <w:t>Guider l’application des dispositions obligatoires du Cadre de référence international des pratiques professionnelles de l’audit interne ;</w:t>
            </w:r>
          </w:p>
          <w:p w14:paraId="7D8CB7AD">
            <w:pPr>
              <w:pStyle w:val="7"/>
              <w:numPr>
                <w:ilvl w:val="0"/>
                <w:numId w:val="4"/>
              </w:numPr>
              <w:spacing w:before="120" w:after="120" w:line="288" w:lineRule="auto"/>
              <w:ind w:left="313"/>
              <w:contextualSpacing w:val="0"/>
              <w:jc w:val="both"/>
              <w:outlineLvl w:val="1"/>
              <w:rPr>
                <w:rFonts w:ascii="Times New Roman" w:hAnsi="Times New Roman" w:cs="Times New Roman"/>
                <w:sz w:val="26"/>
                <w:szCs w:val="26"/>
              </w:rPr>
            </w:pPr>
            <w:r>
              <w:rPr>
                <w:rFonts w:ascii="Times New Roman" w:hAnsi="Times New Roman" w:cs="Times New Roman"/>
                <w:sz w:val="26"/>
                <w:szCs w:val="26"/>
              </w:rPr>
              <w:t>Fournir un cadre pour la réalisation et le développement d'un large éventail d’activités d'audit interne à valeur ajoutée ;</w:t>
            </w:r>
          </w:p>
          <w:p w14:paraId="1A6F6162">
            <w:pPr>
              <w:pStyle w:val="7"/>
              <w:numPr>
                <w:ilvl w:val="0"/>
                <w:numId w:val="4"/>
              </w:numPr>
              <w:spacing w:before="120" w:after="120" w:line="288" w:lineRule="auto"/>
              <w:ind w:left="313"/>
              <w:contextualSpacing w:val="0"/>
              <w:jc w:val="both"/>
              <w:outlineLvl w:val="1"/>
              <w:rPr>
                <w:rFonts w:ascii="Times New Roman" w:hAnsi="Times New Roman" w:cs="Times New Roman"/>
                <w:sz w:val="26"/>
                <w:szCs w:val="26"/>
              </w:rPr>
            </w:pPr>
            <w:r>
              <w:rPr>
                <w:rFonts w:ascii="Times New Roman" w:hAnsi="Times New Roman" w:cs="Times New Roman"/>
                <w:sz w:val="26"/>
                <w:szCs w:val="26"/>
              </w:rPr>
              <w:t>Etablir les critères d'évaluation de l'audit interne ;</w:t>
            </w:r>
          </w:p>
          <w:p w14:paraId="3DF7B80E">
            <w:pPr>
              <w:pStyle w:val="7"/>
              <w:numPr>
                <w:ilvl w:val="0"/>
                <w:numId w:val="4"/>
              </w:numPr>
              <w:spacing w:before="120" w:after="120" w:line="288" w:lineRule="auto"/>
              <w:ind w:left="313"/>
              <w:contextualSpacing w:val="0"/>
              <w:jc w:val="both"/>
              <w:outlineLvl w:val="1"/>
              <w:rPr>
                <w:rFonts w:ascii="Times New Roman" w:hAnsi="Times New Roman" w:cs="Times New Roman"/>
                <w:sz w:val="26"/>
                <w:szCs w:val="26"/>
              </w:rPr>
            </w:pPr>
            <w:r>
              <w:rPr>
                <w:rFonts w:ascii="Times New Roman" w:hAnsi="Times New Roman" w:cs="Times New Roman"/>
                <w:sz w:val="26"/>
                <w:szCs w:val="26"/>
              </w:rPr>
              <w:t>Favoriser l'amélioration des processus et des opérations de l’organisation.</w:t>
            </w:r>
          </w:p>
        </w:tc>
      </w:tr>
    </w:tbl>
    <w:p w14:paraId="79605D9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w:t>
      </w:r>
      <w:r>
        <w:rPr>
          <w:rFonts w:ascii="Times New Roman" w:hAnsi="Times New Roman" w:cs="Times New Roman"/>
          <w:i/>
          <w:sz w:val="26"/>
          <w:szCs w:val="26"/>
        </w:rPr>
        <w:t>normes</w:t>
      </w:r>
      <w:r>
        <w:rPr>
          <w:rFonts w:ascii="Times New Roman" w:hAnsi="Times New Roman" w:cs="Times New Roman"/>
          <w:sz w:val="26"/>
          <w:szCs w:val="26"/>
        </w:rPr>
        <w:t xml:space="preserve"> sont essentielles à la pratique de l’audit interne, mais les candidats au CIA n'ont pas à les mémoriser. Toutefois, les principes qu'ils établissent doivent être bien compris et appliqués de manière appropriée. </w:t>
      </w:r>
    </w:p>
    <w:p w14:paraId="00F33CE1">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Les normes de qualification</w:t>
      </w:r>
      <w:r>
        <w:rPr>
          <w:rFonts w:ascii="Times New Roman" w:hAnsi="Times New Roman" w:cs="Times New Roman"/>
          <w:sz w:val="26"/>
          <w:szCs w:val="26"/>
        </w:rPr>
        <w:t>, sont numérotées à partir de 1000. Les Normes de qualification définissent les caractéristiques des organisations et des parties chargées des activités d'audit interne. Les Normes de qualification s'appliquent à tous les services d'audit interne et aux auditeurs internes individuellement.</w:t>
      </w:r>
    </w:p>
    <w:p w14:paraId="0E73411C">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 xml:space="preserve">Les Normes de fonctionnement </w:t>
      </w:r>
      <w:r>
        <w:rPr>
          <w:rFonts w:ascii="Times New Roman" w:hAnsi="Times New Roman" w:cs="Times New Roman"/>
          <w:sz w:val="26"/>
          <w:szCs w:val="26"/>
        </w:rPr>
        <w:t>sont numérotées à partir de 2000. Elles décrivent la nature de l'audit interne et fournissent des critères de qualité pour évaluer la performance de l'audit. Similaires aux Normes de qualification, les Normes de fonctionnement s'appliquent à tous les services d'audit interne ainsi qu'aux auditeurs internes.</w:t>
      </w:r>
    </w:p>
    <w:p w14:paraId="76957994">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L'IIA fournit des</w:t>
      </w:r>
      <w:r>
        <w:rPr>
          <w:rFonts w:ascii="Times New Roman" w:hAnsi="Times New Roman" w:cs="Times New Roman"/>
          <w:b/>
          <w:sz w:val="26"/>
          <w:szCs w:val="26"/>
        </w:rPr>
        <w:t xml:space="preserve"> interprétations </w:t>
      </w:r>
      <w:r>
        <w:rPr>
          <w:rFonts w:ascii="Times New Roman" w:hAnsi="Times New Roman" w:cs="Times New Roman"/>
          <w:sz w:val="26"/>
          <w:szCs w:val="26"/>
        </w:rPr>
        <w:t xml:space="preserve">pour clarifier les termes et les concepts mentionnés dans les normes de qualification ou de fonctionnement. </w:t>
      </w:r>
    </w:p>
    <w:p w14:paraId="5F662720">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w:t>
      </w:r>
      <w:r>
        <w:rPr>
          <w:rFonts w:ascii="Times New Roman" w:hAnsi="Times New Roman" w:cs="Times New Roman"/>
          <w:b/>
          <w:sz w:val="26"/>
          <w:szCs w:val="26"/>
        </w:rPr>
        <w:t>Normes de mise en œuvre</w:t>
      </w:r>
      <w:r>
        <w:rPr>
          <w:rFonts w:ascii="Times New Roman" w:hAnsi="Times New Roman" w:cs="Times New Roman"/>
          <w:sz w:val="26"/>
          <w:szCs w:val="26"/>
        </w:rPr>
        <w:t xml:space="preserve"> précisent les Normes de qualification et les Normes de fonctionnement en indiquant les exigences applicables pour la mise en œuvre des Normes de qualification et des Normes de fonctionnement selon qu'il s'agit d'une mission d'assurance (A) ou de conseil (C). Le glossaire des Normes définit la mission comme « une mission d'audit interne spécifique, tâche ou activité de révision particulière telle qu'un audit interne, une auto-évaluation des contrôles ou un contrôle de la fraude ou une mission de conseil ».</w:t>
      </w:r>
    </w:p>
    <w:p w14:paraId="6CF7DEB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principes fondamentaux et la définition de l'audit interne sont repris dans le Code de déontologie et les </w:t>
      </w:r>
      <w:r>
        <w:rPr>
          <w:rFonts w:ascii="Times New Roman" w:hAnsi="Times New Roman" w:cs="Times New Roman"/>
          <w:i/>
          <w:sz w:val="26"/>
          <w:szCs w:val="26"/>
        </w:rPr>
        <w:t>Normes</w:t>
      </w:r>
      <w:r>
        <w:rPr>
          <w:rFonts w:ascii="Times New Roman" w:hAnsi="Times New Roman" w:cs="Times New Roman"/>
          <w:sz w:val="26"/>
          <w:szCs w:val="26"/>
        </w:rPr>
        <w:t xml:space="preserve">. Ainsi, la conformité au Code et aux </w:t>
      </w:r>
      <w:r>
        <w:rPr>
          <w:rFonts w:ascii="Times New Roman" w:hAnsi="Times New Roman" w:cs="Times New Roman"/>
          <w:i/>
          <w:sz w:val="26"/>
          <w:szCs w:val="26"/>
        </w:rPr>
        <w:t>normes</w:t>
      </w:r>
      <w:r>
        <w:rPr>
          <w:rFonts w:ascii="Times New Roman" w:hAnsi="Times New Roman" w:cs="Times New Roman"/>
          <w:sz w:val="26"/>
          <w:szCs w:val="26"/>
        </w:rPr>
        <w:t xml:space="preserve"> démontre la conformité à tous les éléments obligatoires du CRIPP. </w:t>
      </w:r>
    </w:p>
    <w:p w14:paraId="7C275E54">
      <w:pPr>
        <w:pStyle w:val="7"/>
        <w:numPr>
          <w:ilvl w:val="0"/>
          <w:numId w:val="2"/>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Directives fortement recommandées </w:t>
      </w:r>
    </w:p>
    <w:p w14:paraId="0D5AAC8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prises de position qui constituent des directives fortement recommandées ont été élaborées par l'IIA dans le cadre d'un processus d’approbation officiel. Elles décrivent les pratiques pour une mise en œuvre efficace des Principes fondamentaux, de la Définition de l'audit interne, du Code de déontologie et des </w:t>
      </w:r>
      <w:r>
        <w:rPr>
          <w:rFonts w:ascii="Times New Roman" w:hAnsi="Times New Roman" w:cs="Times New Roman"/>
          <w:i/>
          <w:sz w:val="26"/>
          <w:szCs w:val="26"/>
        </w:rPr>
        <w:t>Normes</w:t>
      </w:r>
      <w:r>
        <w:rPr>
          <w:rFonts w:ascii="Times New Roman" w:hAnsi="Times New Roman" w:cs="Times New Roman"/>
          <w:sz w:val="26"/>
          <w:szCs w:val="26"/>
        </w:rPr>
        <w:t xml:space="preserve">. </w:t>
      </w:r>
    </w:p>
    <w:p w14:paraId="6A99CC8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deux éléments fortement recommandés du CRIPP sont (a) le </w:t>
      </w:r>
      <w:r>
        <w:rPr>
          <w:rFonts w:ascii="Times New Roman" w:hAnsi="Times New Roman" w:cs="Times New Roman"/>
          <w:b/>
          <w:sz w:val="26"/>
          <w:szCs w:val="26"/>
        </w:rPr>
        <w:t>Guide de mise en œuvre</w:t>
      </w:r>
      <w:r>
        <w:rPr>
          <w:rFonts w:ascii="Times New Roman" w:hAnsi="Times New Roman" w:cs="Times New Roman"/>
          <w:sz w:val="26"/>
          <w:szCs w:val="26"/>
        </w:rPr>
        <w:t xml:space="preserve"> (IG) et (b) le </w:t>
      </w:r>
      <w:r>
        <w:rPr>
          <w:rFonts w:ascii="Times New Roman" w:hAnsi="Times New Roman" w:cs="Times New Roman"/>
          <w:b/>
          <w:sz w:val="26"/>
          <w:szCs w:val="26"/>
        </w:rPr>
        <w:t>Guide supplémentaire</w:t>
      </w:r>
      <w:r>
        <w:rPr>
          <w:rFonts w:ascii="Times New Roman" w:hAnsi="Times New Roman" w:cs="Times New Roman"/>
          <w:sz w:val="26"/>
          <w:szCs w:val="26"/>
        </w:rPr>
        <w:t xml:space="preserve">. </w:t>
      </w:r>
    </w:p>
    <w:p w14:paraId="294818D5">
      <w:pPr>
        <w:pStyle w:val="7"/>
        <w:numPr>
          <w:ilvl w:val="0"/>
          <w:numId w:val="2"/>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Mission, pouvoir et responsabilité de l'activité d’audit interne </w:t>
      </w:r>
    </w:p>
    <w:p w14:paraId="4DED6949">
      <w:pPr>
        <w:numPr>
          <w:ilvl w:val="0"/>
          <w:numId w:val="5"/>
        </w:numPr>
        <w:spacing w:before="120" w:after="120" w:line="288" w:lineRule="auto"/>
        <w:ind w:left="1599" w:hanging="578"/>
        <w:jc w:val="both"/>
        <w:rPr>
          <w:rFonts w:ascii="Times New Roman" w:hAnsi="Times New Roman" w:cs="Times New Roman"/>
          <w:b/>
          <w:sz w:val="26"/>
          <w:szCs w:val="26"/>
        </w:rPr>
      </w:pPr>
      <w:r>
        <w:rPr>
          <w:rFonts w:ascii="Times New Roman" w:hAnsi="Times New Roman" w:cs="Times New Roman"/>
          <w:b/>
          <w:sz w:val="26"/>
          <w:szCs w:val="26"/>
        </w:rPr>
        <w:t xml:space="preserve">Mission </w:t>
      </w:r>
    </w:p>
    <w:p w14:paraId="27ED016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Comme le définit le glossaire de l'IIA, l'activité d'audit interne a pour objet de fournir "des services indépendants et objectifs d'assurance et de conseil destinés à ajouter de la valeur et à améliorer les opérations d'une organisation. L'activité d’audit interne aide une organisation à atteindre ses objectifs en adoptant une approche systématique et disciplinée pour évaluer et améliorer l'efficacité des processus de gouvernance, de gestion des risques et de contrôle." </w:t>
      </w:r>
    </w:p>
    <w:p w14:paraId="4A5C2EE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Selon les </w:t>
      </w:r>
      <w:r>
        <w:rPr>
          <w:rFonts w:ascii="Times New Roman" w:hAnsi="Times New Roman" w:cs="Times New Roman"/>
          <w:i/>
          <w:sz w:val="26"/>
          <w:szCs w:val="26"/>
        </w:rPr>
        <w:t>Normes</w:t>
      </w:r>
      <w:r>
        <w:rPr>
          <w:rFonts w:ascii="Times New Roman" w:hAnsi="Times New Roman" w:cs="Times New Roman"/>
          <w:sz w:val="26"/>
          <w:szCs w:val="26"/>
        </w:rPr>
        <w:t xml:space="preserve">, les </w:t>
      </w:r>
      <w:r>
        <w:rPr>
          <w:rFonts w:ascii="Times New Roman" w:hAnsi="Times New Roman" w:cs="Times New Roman"/>
          <w:b/>
          <w:sz w:val="26"/>
          <w:szCs w:val="26"/>
        </w:rPr>
        <w:t>services d'assurance</w:t>
      </w:r>
      <w:r>
        <w:rPr>
          <w:rFonts w:ascii="Times New Roman" w:hAnsi="Times New Roman" w:cs="Times New Roman"/>
          <w:sz w:val="26"/>
          <w:szCs w:val="26"/>
        </w:rPr>
        <w:t xml:space="preserve"> comprennent l’évaluation objective en vue de formuler des opinions ou des conclusions sur une entité, une opération, une fonction, un processus, un système ou d’autres domaines. En conséquence, le glossaire de l'IIA définit les services d'assurance comme un examen objectif des éléments probants dans le but de fournir une évaluation indépendante des processus de gouvernance, de gestion des risques et de contrôle de l'organisation. </w:t>
      </w:r>
    </w:p>
    <w:p w14:paraId="4D8117C2">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 xml:space="preserve">nature et le périmètre </w:t>
      </w:r>
      <w:r>
        <w:rPr>
          <w:rFonts w:ascii="Times New Roman" w:hAnsi="Times New Roman" w:cs="Times New Roman"/>
          <w:sz w:val="26"/>
          <w:szCs w:val="26"/>
        </w:rPr>
        <w:t xml:space="preserve">d’une mission d’assurance sont déterminés par l’auditeur interne. </w:t>
      </w:r>
    </w:p>
    <w:p w14:paraId="6C794943">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En général, </w:t>
      </w:r>
      <w:r>
        <w:rPr>
          <w:rFonts w:ascii="Times New Roman" w:hAnsi="Times New Roman" w:cs="Times New Roman"/>
          <w:b/>
          <w:sz w:val="26"/>
          <w:szCs w:val="26"/>
        </w:rPr>
        <w:t>trois parties</w:t>
      </w:r>
      <w:r>
        <w:rPr>
          <w:rFonts w:ascii="Times New Roman" w:hAnsi="Times New Roman" w:cs="Times New Roman"/>
          <w:sz w:val="26"/>
          <w:szCs w:val="26"/>
        </w:rPr>
        <w:t xml:space="preserve"> participent aux services d’assurance : (1) le propriétaire du processus (c.-à-d. la personne ou le groupe directement concerné par l'entité, l'exploitation, la fonction, le processus, le système ou tout autre objet), (2) l’auditeur interne (c.-à-d. la personne ou le groupe effectuant l'évaluation) et (3) l'utilisateur (c.-à-d. la personne ou le groupe utilisant l’évaluation). </w:t>
      </w:r>
    </w:p>
    <w:p w14:paraId="03FC7CBD">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services d'assurance comprennent la réalisation de missions financières, de fonctionnement, de conformité, de sécurité du système et de vérification diligente. </w:t>
      </w:r>
    </w:p>
    <w:p w14:paraId="084A19A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Selon les </w:t>
      </w:r>
      <w:r>
        <w:rPr>
          <w:rFonts w:ascii="Times New Roman" w:hAnsi="Times New Roman" w:cs="Times New Roman"/>
          <w:i/>
          <w:sz w:val="26"/>
          <w:szCs w:val="26"/>
        </w:rPr>
        <w:t>Normes</w:t>
      </w:r>
      <w:r>
        <w:rPr>
          <w:rFonts w:ascii="Times New Roman" w:hAnsi="Times New Roman" w:cs="Times New Roman"/>
          <w:sz w:val="26"/>
          <w:szCs w:val="26"/>
        </w:rPr>
        <w:t xml:space="preserve">, les </w:t>
      </w:r>
      <w:r>
        <w:rPr>
          <w:rFonts w:ascii="Times New Roman" w:hAnsi="Times New Roman" w:cs="Times New Roman"/>
          <w:b/>
          <w:sz w:val="26"/>
          <w:szCs w:val="26"/>
        </w:rPr>
        <w:t>services de conseil sont de</w:t>
      </w:r>
      <w:r>
        <w:rPr>
          <w:rFonts w:ascii="Times New Roman" w:hAnsi="Times New Roman" w:cs="Times New Roman"/>
          <w:sz w:val="26"/>
          <w:szCs w:val="26"/>
        </w:rPr>
        <w:t xml:space="preserve"> nature consultative et sont généralement fournis à la demande expresse d'un client en mission. </w:t>
      </w:r>
    </w:p>
    <w:p w14:paraId="1DC60D7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Par conséquent, le glossaire de l'IIA définit les services de conseil comme des activités visant à ajouter de la valeur et à améliorer les processus de gouvernance, de gestion des risques et de contrôle d'une organisation sans que l’auditeur interne assume la responsabilité de la gestion. </w:t>
      </w:r>
    </w:p>
    <w:p w14:paraId="51FEFE6B">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nature et le périmètre de la</w:t>
      </w:r>
      <w:r>
        <w:rPr>
          <w:rFonts w:ascii="Times New Roman" w:hAnsi="Times New Roman" w:cs="Times New Roman"/>
          <w:sz w:val="26"/>
          <w:szCs w:val="26"/>
        </w:rPr>
        <w:t xml:space="preserve"> mission de conseil sont assujettis à une entente avec le client de la mission. </w:t>
      </w:r>
    </w:p>
    <w:p w14:paraId="3E734290">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En général, </w:t>
      </w:r>
      <w:r>
        <w:rPr>
          <w:rFonts w:ascii="Times New Roman" w:hAnsi="Times New Roman" w:cs="Times New Roman"/>
          <w:b/>
          <w:sz w:val="26"/>
          <w:szCs w:val="26"/>
        </w:rPr>
        <w:t>deux parties</w:t>
      </w:r>
      <w:r>
        <w:rPr>
          <w:rFonts w:ascii="Times New Roman" w:hAnsi="Times New Roman" w:cs="Times New Roman"/>
          <w:sz w:val="26"/>
          <w:szCs w:val="26"/>
        </w:rPr>
        <w:t xml:space="preserve"> participent aux services de conseil : (1) l’auditeur interne (c.-à-d. la personne ou le groupe qui donne l'avis) et (2) le client de la mission (c.-à-d. la personne ou le groupe qui demande et reçoit l'avis). Lorsqu'il fournit des services de conseil, l'auditeur interne doit faire preuve d'objectivité et ne pas assumer de responsabilité de gestion. </w:t>
      </w:r>
    </w:p>
    <w:p w14:paraId="66CD532B">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services de conseil comprennent la prestation de conseils, de conseils, de facilitation et de formation. </w:t>
      </w:r>
    </w:p>
    <w:p w14:paraId="6DFC960C">
      <w:pPr>
        <w:numPr>
          <w:ilvl w:val="0"/>
          <w:numId w:val="5"/>
        </w:numPr>
        <w:spacing w:before="120" w:after="120" w:line="288" w:lineRule="auto"/>
        <w:ind w:left="1599" w:hanging="578"/>
        <w:jc w:val="both"/>
        <w:rPr>
          <w:rFonts w:ascii="Times New Roman" w:hAnsi="Times New Roman" w:cs="Times New Roman"/>
          <w:b/>
          <w:sz w:val="26"/>
          <w:szCs w:val="26"/>
        </w:rPr>
      </w:pPr>
      <w:r>
        <w:rPr>
          <w:rFonts w:ascii="Times New Roman" w:hAnsi="Times New Roman" w:cs="Times New Roman"/>
          <w:b/>
          <w:sz w:val="26"/>
          <w:szCs w:val="26"/>
        </w:rPr>
        <w:t xml:space="preserve">Pouvoir </w:t>
      </w:r>
    </w:p>
    <w:p w14:paraId="0E154D1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L'appui de la direction et du conseil d'administration est crucial lorsque des conflits inévitables surviennent entre l'activité d’audit interne et le service ou la fonction à l'étude. Ainsi, l'activité d'audit interne devrait être habilitée à exiger des entités auditées qu'elles donnent accès à tous les dossiers, au personnel et aux biens matériels pertinents pour l'exécution de chaque mission. </w:t>
      </w:r>
    </w:p>
    <w:p w14:paraId="623C03A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Une</w:t>
      </w:r>
      <w:r>
        <w:rPr>
          <w:rFonts w:ascii="Times New Roman" w:hAnsi="Times New Roman" w:cs="Times New Roman"/>
          <w:b/>
          <w:sz w:val="26"/>
          <w:szCs w:val="26"/>
        </w:rPr>
        <w:t xml:space="preserve"> charte </w:t>
      </w:r>
      <w:r>
        <w:rPr>
          <w:rFonts w:ascii="Times New Roman" w:hAnsi="Times New Roman" w:cs="Times New Roman"/>
          <w:sz w:val="26"/>
          <w:szCs w:val="26"/>
        </w:rPr>
        <w:t xml:space="preserve">officielle </w:t>
      </w:r>
      <w:r>
        <w:rPr>
          <w:rFonts w:ascii="Times New Roman" w:hAnsi="Times New Roman" w:cs="Times New Roman"/>
          <w:b/>
          <w:sz w:val="26"/>
          <w:szCs w:val="26"/>
        </w:rPr>
        <w:t xml:space="preserve">de </w:t>
      </w:r>
      <w:r>
        <w:rPr>
          <w:rFonts w:ascii="Times New Roman" w:hAnsi="Times New Roman" w:cs="Times New Roman"/>
          <w:sz w:val="26"/>
          <w:szCs w:val="26"/>
        </w:rPr>
        <w:t xml:space="preserve">l'activité d'audit interne définissant la mission, les pouvoirs et les responsabilités de l'activité d'audit interne doit être adoptée, et elle doit contenir une délégation de pouvoirs suffisante. L'approbation finale de la charte revient au conseil. (La charte d'audit interne fait l'objet de la sous-unité VIII.) </w:t>
      </w:r>
    </w:p>
    <w:p w14:paraId="33655817">
      <w:pPr>
        <w:numPr>
          <w:ilvl w:val="0"/>
          <w:numId w:val="5"/>
        </w:numPr>
        <w:spacing w:before="120" w:after="120" w:line="288" w:lineRule="auto"/>
        <w:ind w:left="1599" w:hanging="578"/>
        <w:jc w:val="both"/>
        <w:rPr>
          <w:rFonts w:ascii="Times New Roman" w:hAnsi="Times New Roman" w:cs="Times New Roman"/>
          <w:b/>
          <w:sz w:val="26"/>
          <w:szCs w:val="26"/>
        </w:rPr>
      </w:pPr>
      <w:r>
        <w:rPr>
          <w:rFonts w:ascii="Times New Roman" w:hAnsi="Times New Roman" w:cs="Times New Roman"/>
          <w:b/>
          <w:sz w:val="26"/>
          <w:szCs w:val="26"/>
        </w:rPr>
        <w:t xml:space="preserve">Responsabilité </w:t>
      </w:r>
    </w:p>
    <w:p w14:paraId="51F1413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responsabilité de l'activité d’audit interne consiste à fournir à l'organisation des services d'assurance et de conseil qui ajouteront de la valeur et amélioreront les opérations de l'organisation. Plus précisément, l'activité d’audit interne doit évaluer et améliorer l'efficacité des processus de gouvernance, de gestion des risques et de contrôle de l'organisation. </w:t>
      </w:r>
    </w:p>
    <w:p w14:paraId="2F5F0903">
      <w:pPr>
        <w:spacing w:before="120" w:after="120" w:line="288" w:lineRule="auto"/>
        <w:rPr>
          <w:rFonts w:ascii="Times New Roman" w:hAnsi="Times New Roman" w:cs="Times New Roman"/>
          <w:b/>
          <w:sz w:val="26"/>
          <w:szCs w:val="26"/>
        </w:rPr>
      </w:pPr>
      <w:r>
        <w:rPr>
          <w:rFonts w:ascii="Times New Roman" w:hAnsi="Times New Roman" w:cs="Times New Roman"/>
          <w:b/>
          <w:sz w:val="26"/>
          <w:szCs w:val="26"/>
        </w:rPr>
        <w:br w:type="page"/>
      </w:r>
    </w:p>
    <w:p w14:paraId="6BE97681">
      <w:pPr>
        <w:pStyle w:val="7"/>
        <w:numPr>
          <w:ilvl w:val="1"/>
          <w:numId w:val="1"/>
        </w:numPr>
        <w:spacing w:before="120" w:after="120" w:line="288" w:lineRule="auto"/>
        <w:ind w:left="284" w:hanging="284"/>
        <w:contextualSpacing w:val="0"/>
        <w:jc w:val="both"/>
        <w:outlineLvl w:val="0"/>
        <w:rPr>
          <w:rFonts w:ascii="Times New Roman" w:hAnsi="Times New Roman" w:cs="Times New Roman"/>
          <w:b/>
          <w:sz w:val="26"/>
          <w:szCs w:val="26"/>
        </w:rPr>
      </w:pPr>
      <w:bookmarkStart w:id="1" w:name="_Toc41512314"/>
      <w:r>
        <w:rPr>
          <w:rFonts w:ascii="Times New Roman" w:hAnsi="Times New Roman" w:cs="Times New Roman"/>
          <w:b/>
          <w:sz w:val="26"/>
          <w:szCs w:val="26"/>
        </w:rPr>
        <w:t>CODES DE DÉONTOLOGIE POUR LES PROFESSIONNELS</w:t>
      </w:r>
      <w:bookmarkEnd w:id="1"/>
      <w:r>
        <w:rPr>
          <w:rFonts w:ascii="Times New Roman" w:hAnsi="Times New Roman" w:cs="Times New Roman"/>
          <w:b/>
          <w:sz w:val="26"/>
          <w:szCs w:val="26"/>
        </w:rPr>
        <w:t xml:space="preserve"> </w:t>
      </w:r>
    </w:p>
    <w:p w14:paraId="76741877">
      <w:pPr>
        <w:pStyle w:val="7"/>
        <w:numPr>
          <w:ilvl w:val="0"/>
          <w:numId w:val="6"/>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Raisons d'être des codes de déontologie</w:t>
      </w:r>
    </w:p>
    <w:p w14:paraId="5EDB72C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but premier d'un code de déontologie pour une organisation professionnelle est de promouvoir une culture éthique parmi les professionnels qui servent les autres. </w:t>
      </w:r>
    </w:p>
    <w:p w14:paraId="23CE5B1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autres fonctions d'un code de déontologie pour une organisation professionnelle sont les suivantes :</w:t>
      </w:r>
    </w:p>
    <w:p w14:paraId="3E8A2AD2">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Communiquer des valeurs acceptables à tous les membres, </w:t>
      </w:r>
    </w:p>
    <w:p w14:paraId="55999879">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Établir des normes objectives par rapport auxquelles les personnes peuvent mesurer leur propre rendement ; et </w:t>
      </w:r>
    </w:p>
    <w:p w14:paraId="007B402A">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Communiquer les valeurs de l'organisation à l'extérieur. </w:t>
      </w:r>
    </w:p>
    <w:p w14:paraId="13593572">
      <w:pPr>
        <w:pStyle w:val="7"/>
        <w:numPr>
          <w:ilvl w:val="0"/>
          <w:numId w:val="6"/>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Aspects des codes </w:t>
      </w:r>
      <w:r>
        <w:rPr>
          <w:rFonts w:ascii="Times New Roman" w:hAnsi="Times New Roman" w:cs="Times New Roman"/>
          <w:b/>
          <w:bCs/>
          <w:sz w:val="26"/>
          <w:szCs w:val="26"/>
        </w:rPr>
        <w:t>de déontologie</w:t>
      </w:r>
      <w:r>
        <w:rPr>
          <w:rFonts w:ascii="Times New Roman" w:hAnsi="Times New Roman" w:cs="Times New Roman"/>
          <w:b/>
          <w:sz w:val="26"/>
          <w:szCs w:val="26"/>
        </w:rPr>
        <w:t xml:space="preserve"> </w:t>
      </w:r>
    </w:p>
    <w:p w14:paraId="6064140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simple existence d'un code de déontologie ne garantit pas que ses principes soient respectés ou que ceux qui ne font pas partie de l'organisation croient qu'il est digne de confiance. Une mesure de la cohésion et du professionnalisme d'une organisation est le degré de conformité volontaire à son code adopté. Un code de déontologie rédigé de manière à réduire la probabilité que les membres soient poursuivis pour un travail de qualité inférieure ne gagnerait pas la confiance du public. </w:t>
      </w:r>
    </w:p>
    <w:p w14:paraId="7A605B8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Un code de déontologie peut aider à établir des normes minimales de compétence, mais il est impossible d'exiger l'égalité de compétence de tous les membres d'une profession. </w:t>
      </w:r>
    </w:p>
    <w:p w14:paraId="5DA4B85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Pour accroître son efficacité, le code devrait prévoir des mesures disciplinaires pour les contrevenants. </w:t>
      </w:r>
    </w:p>
    <w:p w14:paraId="133FC695">
      <w:pPr>
        <w:pStyle w:val="7"/>
        <w:numPr>
          <w:ilvl w:val="0"/>
          <w:numId w:val="6"/>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Composantes typiques d'un code de déontologie </w:t>
      </w:r>
    </w:p>
    <w:p w14:paraId="10B1FCB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Un code de déontologie pour les professionnels devrait contenir au moins les éléments suivants : </w:t>
      </w:r>
    </w:p>
    <w:p w14:paraId="173920B3">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Intégrité</w:t>
      </w:r>
      <w:r>
        <w:rPr>
          <w:rFonts w:ascii="Times New Roman" w:hAnsi="Times New Roman" w:cs="Times New Roman"/>
          <w:sz w:val="26"/>
          <w:szCs w:val="26"/>
        </w:rPr>
        <w:t>. Un refus de compromettre les valeurs professionnelles pour un gain personnel. Un autre aspect de l’intégrité est l’exécution de devoirs professionnels conformément aux lois en vigueur.</w:t>
      </w:r>
    </w:p>
    <w:p w14:paraId="05A81E31">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Objectivité</w:t>
      </w:r>
      <w:r>
        <w:rPr>
          <w:rFonts w:ascii="Times New Roman" w:hAnsi="Times New Roman" w:cs="Times New Roman"/>
          <w:sz w:val="26"/>
          <w:szCs w:val="26"/>
        </w:rPr>
        <w:t>. Un engagement à fournir aux parties prenantes une information impartiale. Une autre facette de l'objectivité est un engagement d'indépendance vis-à-vis des conflits d'intérêts économiques ou professionnels.</w:t>
      </w:r>
    </w:p>
    <w:p w14:paraId="1D9AE2E5">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Confidentialité</w:t>
      </w:r>
      <w:r>
        <w:rPr>
          <w:rFonts w:ascii="Times New Roman" w:hAnsi="Times New Roman" w:cs="Times New Roman"/>
          <w:sz w:val="26"/>
          <w:szCs w:val="26"/>
        </w:rPr>
        <w:t>. Un refus d'utiliser des informations organisationnelles à des fins personnelles.</w:t>
      </w:r>
    </w:p>
    <w:p w14:paraId="59FF1B4B">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Compétence.</w:t>
      </w:r>
      <w:r>
        <w:rPr>
          <w:rFonts w:ascii="Times New Roman" w:hAnsi="Times New Roman" w:cs="Times New Roman"/>
          <w:sz w:val="26"/>
          <w:szCs w:val="26"/>
        </w:rPr>
        <w:t xml:space="preserve"> Un engagement à acquérir et à maintenir un niveau approprié de connaissances et de compétences.</w:t>
      </w:r>
    </w:p>
    <w:p w14:paraId="2AC6FD9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Ces quatre éléments constituent les principes fondamentaux du Code de déontologie de l'IIA. </w:t>
      </w:r>
      <w:r>
        <w:rPr>
          <w:rFonts w:ascii="Times New Roman" w:hAnsi="Times New Roman" w:cs="Times New Roman"/>
          <w:b/>
          <w:sz w:val="26"/>
          <w:szCs w:val="26"/>
        </w:rPr>
        <w:br w:type="page"/>
      </w:r>
    </w:p>
    <w:p w14:paraId="2EFC430F">
      <w:pPr>
        <w:pStyle w:val="7"/>
        <w:numPr>
          <w:ilvl w:val="1"/>
          <w:numId w:val="1"/>
        </w:numPr>
        <w:spacing w:before="120" w:after="120" w:line="288" w:lineRule="auto"/>
        <w:ind w:left="284" w:hanging="284"/>
        <w:contextualSpacing w:val="0"/>
        <w:jc w:val="both"/>
        <w:outlineLvl w:val="0"/>
        <w:rPr>
          <w:rFonts w:ascii="Times New Roman" w:hAnsi="Times New Roman" w:cs="Times New Roman"/>
          <w:b/>
          <w:sz w:val="26"/>
          <w:szCs w:val="26"/>
        </w:rPr>
      </w:pPr>
      <w:bookmarkStart w:id="2" w:name="_Toc41512315"/>
      <w:r>
        <w:rPr>
          <w:rFonts w:ascii="Times New Roman" w:hAnsi="Times New Roman" w:cs="Times New Roman"/>
          <w:b/>
          <w:sz w:val="26"/>
          <w:szCs w:val="26"/>
        </w:rPr>
        <w:t>ÉTHIQUE D'AUDIT INTERNE - INTRODUCTION ET PRINCIPES</w:t>
      </w:r>
      <w:bookmarkEnd w:id="2"/>
      <w:r>
        <w:rPr>
          <w:rFonts w:ascii="Times New Roman" w:hAnsi="Times New Roman" w:cs="Times New Roman"/>
          <w:b/>
          <w:sz w:val="26"/>
          <w:szCs w:val="26"/>
        </w:rPr>
        <w:t xml:space="preserve"> </w:t>
      </w:r>
    </w:p>
    <w:p w14:paraId="1EA553D1">
      <w:pPr>
        <w:pStyle w:val="7"/>
        <w:numPr>
          <w:ilvl w:val="0"/>
          <w:numId w:val="7"/>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Introduction </w:t>
      </w:r>
    </w:p>
    <w:p w14:paraId="478D49B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L'IIA intègre la définition de l'audit interne dans l'introduction du Code de déontologie et précise les raisons pour lesquelles il a été établi. </w:t>
      </w:r>
    </w:p>
    <w:tbl>
      <w:tblPr>
        <w:tblStyle w:val="8"/>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6711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12512A87">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 xml:space="preserve">Introduction au Code de déontologie de l'IIA </w:t>
            </w:r>
          </w:p>
          <w:p w14:paraId="4ED92FF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Code de Déontologie de l'Institut a pour but de promouvoir une culture de l'éthique au sein de la profession d'audit interne.</w:t>
            </w:r>
          </w:p>
          <w:p w14:paraId="7D1310E4">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L’audit in terne est une activité indépendante et objective qui donne à une organisation une assurance sur le degré de maîtrise de ses opérations, lui apporte ses conseils pour les améliorer, et contribue à créer de la valeur ajoutée. Il aide cette organisation à atteindre ses objectifs en évaluant, par une approche systématique et méthodique, ses processus de mana</w:t>
            </w:r>
            <w:r>
              <w:rPr>
                <w:rFonts w:ascii="Times New Roman" w:hAnsi="Times New Roman" w:cs="Times New Roman" w:eastAsiaTheme="minorEastAsia"/>
                <w:i/>
                <w:sz w:val="26"/>
                <w:szCs w:val="26"/>
                <w:lang w:eastAsia="fr-FR"/>
              </w:rPr>
              <w:softHyphen/>
            </w:r>
            <w:r>
              <w:rPr>
                <w:rFonts w:ascii="Times New Roman" w:hAnsi="Times New Roman" w:cs="Times New Roman" w:eastAsiaTheme="minorEastAsia"/>
                <w:i/>
                <w:sz w:val="26"/>
                <w:szCs w:val="26"/>
                <w:lang w:eastAsia="fr-FR"/>
              </w:rPr>
              <w:t>gement des risques, de contrôle, et de gouvernement d'entreprise, et en faisant des propositions pour renforcer leur efficacité.</w:t>
            </w:r>
          </w:p>
          <w:p w14:paraId="5F7BF11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Compte tenu de la confiance placée en l'audit interne pour donner une assurance objective sur les processus de gouvernement d'entreprise, de management des risques, et de contrôle, il était nécessaire que la profession se dote d'un tel code.</w:t>
            </w:r>
          </w:p>
          <w:p w14:paraId="30DBE4E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Code de Déontologie va au-delà de la définition de l'audit interne et inclut deux composantes essentielles :</w:t>
            </w:r>
          </w:p>
          <w:p w14:paraId="7EEA4A6F">
            <w:pPr>
              <w:numPr>
                <w:ilvl w:val="0"/>
                <w:numId w:val="8"/>
              </w:numPr>
              <w:spacing w:before="120" w:after="120" w:line="288" w:lineRule="auto"/>
              <w:ind w:left="454" w:hanging="10"/>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Des principes fondamentaux pertinents pour la profession et pour la pratique de l'audit interne ;</w:t>
            </w:r>
          </w:p>
          <w:p w14:paraId="7D368B91">
            <w:pPr>
              <w:numPr>
                <w:ilvl w:val="0"/>
                <w:numId w:val="8"/>
              </w:numPr>
              <w:spacing w:before="120" w:after="120" w:line="288" w:lineRule="auto"/>
              <w:ind w:left="454" w:hanging="10"/>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Des règles de conduite décrivant les normes de comportement attendues des auditeurs internes. Ces règles sont une aide à la mise en œuvre pratique des principes fondamentaux et ont pour but de guider la conduite éthique des auditeurs internes.</w:t>
            </w:r>
          </w:p>
          <w:p w14:paraId="309534A2">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On désigne par « auditeurs internes » les membres de l'Institut, les titulaires de certification profes</w:t>
            </w:r>
            <w:r>
              <w:rPr>
                <w:rFonts w:ascii="Times New Roman" w:hAnsi="Times New Roman" w:cs="Times New Roman" w:eastAsiaTheme="minorEastAsia"/>
                <w:sz w:val="26"/>
                <w:szCs w:val="26"/>
                <w:lang w:eastAsia="fr-FR"/>
              </w:rPr>
              <w:softHyphen/>
            </w:r>
            <w:r>
              <w:rPr>
                <w:rFonts w:ascii="Times New Roman" w:hAnsi="Times New Roman" w:cs="Times New Roman" w:eastAsiaTheme="minorEastAsia"/>
                <w:sz w:val="26"/>
                <w:szCs w:val="26"/>
                <w:lang w:eastAsia="fr-FR"/>
              </w:rPr>
              <w:t>sionnelles de l'IIA ou les candidats à celles-ci, ainsi que les personnes proposant des services entrant dans le cadre de la définition de l'audit interne.</w:t>
            </w:r>
          </w:p>
        </w:tc>
      </w:tr>
    </w:tbl>
    <w:p w14:paraId="135B0710">
      <w:pPr>
        <w:pStyle w:val="7"/>
        <w:numPr>
          <w:ilvl w:val="0"/>
          <w:numId w:val="7"/>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Applicabilité </w:t>
      </w:r>
    </w:p>
    <w:p w14:paraId="262AA0B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dispositions du Code s'appliquent de façon générale à toutes les organisations et à toutes les personnes qui fournissent des services d’audit interne, pas seulement aux ICA et aux membres de l'IIA.</w:t>
      </w:r>
    </w:p>
    <w:tbl>
      <w:tblPr>
        <w:tblStyle w:val="8"/>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5155D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5"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4C6382C3">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Champ d'application et caractère obligatoire</w:t>
            </w:r>
            <w:r>
              <w:rPr>
                <w:rFonts w:ascii="Times New Roman" w:hAnsi="Times New Roman" w:cs="Times New Roman" w:eastAsiaTheme="minorEastAsia"/>
                <w:sz w:val="26"/>
                <w:szCs w:val="26"/>
                <w:lang w:eastAsia="fr-FR"/>
              </w:rPr>
              <w:tab/>
            </w:r>
          </w:p>
          <w:p w14:paraId="209C523A">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Code de Déontologie s'applique aux personnes et aux entités qui fournissent des services d'audit interne.</w:t>
            </w:r>
          </w:p>
          <w:p w14:paraId="280B375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Toute violation du Code de Déontologie par des membres de l'Institut, des titulaires de certifications professionnelles de l'IIA ou des candidats à celles-ci, fera l'objet d'une évaluation et sera traitée en accord avec les statuts de l'Institut et ses directives administratives. Le fait qu'un comportement donné ne figure pas dans les règles de conduite ne l'empêche pas d'être inacceptable ou déshonorant et peut donc entraîner une action disciplinaire à l'encontre de la personne qui s'en est rendu coupable.</w:t>
            </w:r>
          </w:p>
        </w:tc>
      </w:tr>
    </w:tbl>
    <w:p w14:paraId="649BDA0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infractions aux règles d'éthique doivent être signalées au conseil d'administration de l'IIA. </w:t>
      </w:r>
    </w:p>
    <w:p w14:paraId="4A072C0F">
      <w:pPr>
        <w:pStyle w:val="7"/>
        <w:numPr>
          <w:ilvl w:val="0"/>
          <w:numId w:val="7"/>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Principes fondamentaux </w:t>
      </w:r>
    </w:p>
    <w:p w14:paraId="1032112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Règles de conduite du Code sont organisées en fonction des principes d'intégrité, d'objectivité, de confidentialité et de compétence. </w:t>
      </w:r>
    </w:p>
    <w:p w14:paraId="6BC970AA">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Intégrité.</w:t>
      </w:r>
      <w:r>
        <w:rPr>
          <w:rFonts w:ascii="Times New Roman" w:hAnsi="Times New Roman" w:cs="Times New Roman"/>
          <w:sz w:val="26"/>
          <w:szCs w:val="26"/>
        </w:rPr>
        <w:t xml:space="preserve"> L’intégrité des auditeurs internes est à la base de la confiance et de la crédibilité accordées à leur jugement.</w:t>
      </w:r>
    </w:p>
    <w:p w14:paraId="29F425FE">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Objectivité.</w:t>
      </w:r>
      <w:r>
        <w:rPr>
          <w:rFonts w:ascii="Times New Roman" w:hAnsi="Times New Roman" w:cs="Times New Roman"/>
          <w:sz w:val="26"/>
          <w:szCs w:val="26"/>
        </w:rPr>
        <w:t xml:space="preserve"> Les auditeurs internes montrent le plus haut degré d’objectivité </w:t>
      </w:r>
      <w:r>
        <w:rPr>
          <w:rFonts w:ascii="Times New Roman" w:hAnsi="Times New Roman" w:cs="Times New Roman"/>
          <w:b/>
          <w:sz w:val="26"/>
          <w:szCs w:val="26"/>
        </w:rPr>
        <w:t>professionnelle</w:t>
      </w:r>
      <w:r>
        <w:rPr>
          <w:rFonts w:ascii="Times New Roman" w:hAnsi="Times New Roman" w:cs="Times New Roman"/>
          <w:sz w:val="26"/>
          <w:szCs w:val="26"/>
        </w:rPr>
        <w:t xml:space="preserve"> en collectant, évaluant et communiquant les informations relatives à l’activité ou au processus examiné. Les auditeurs internes évaluent de manière équitable tous les éléments pertinents et ne se laissent pas influencer dans leur jugement par leurs propres intérêts ou par autrui.</w:t>
      </w:r>
    </w:p>
    <w:p w14:paraId="16623B0C">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Confidentialité.</w:t>
      </w:r>
      <w:r>
        <w:rPr>
          <w:rFonts w:ascii="Times New Roman" w:hAnsi="Times New Roman" w:cs="Times New Roman"/>
          <w:sz w:val="26"/>
          <w:szCs w:val="26"/>
        </w:rPr>
        <w:t xml:space="preserve"> Les auditeurs internes respectent la valeur et la propriété des </w:t>
      </w:r>
      <w:r>
        <w:rPr>
          <w:rFonts w:ascii="Times New Roman" w:hAnsi="Times New Roman" w:cs="Times New Roman"/>
          <w:b/>
          <w:sz w:val="26"/>
          <w:szCs w:val="26"/>
        </w:rPr>
        <w:t>informations</w:t>
      </w:r>
      <w:r>
        <w:rPr>
          <w:rFonts w:ascii="Times New Roman" w:hAnsi="Times New Roman" w:cs="Times New Roman"/>
          <w:sz w:val="26"/>
          <w:szCs w:val="26"/>
        </w:rPr>
        <w:t xml:space="preserve"> qu’ils reçoivent ; ils ne divulguent ces informations qu’avec les autorisations requises, à moins qu’une obligation légale ou professionnelle ne les oblige à le faire.</w:t>
      </w:r>
    </w:p>
    <w:p w14:paraId="517FF08F">
      <w:pPr>
        <w:pStyle w:val="7"/>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Compétence.</w:t>
      </w:r>
      <w:r>
        <w:rPr>
          <w:rFonts w:ascii="Times New Roman" w:hAnsi="Times New Roman" w:cs="Times New Roman"/>
          <w:sz w:val="26"/>
          <w:szCs w:val="26"/>
        </w:rPr>
        <w:t xml:space="preserve"> Les auditeurs internes utilisent et appliquent les connaissances, les </w:t>
      </w:r>
      <w:r>
        <w:rPr>
          <w:rFonts w:ascii="Times New Roman" w:hAnsi="Times New Roman" w:cs="Times New Roman"/>
          <w:b/>
          <w:sz w:val="26"/>
          <w:szCs w:val="26"/>
        </w:rPr>
        <w:t>savoir</w:t>
      </w:r>
      <w:r>
        <w:rPr>
          <w:rFonts w:ascii="Times New Roman" w:hAnsi="Times New Roman" w:cs="Times New Roman"/>
          <w:sz w:val="26"/>
          <w:szCs w:val="26"/>
        </w:rPr>
        <w:t>-faire et expériences requis pour la réalisation de leurs travaux.</w:t>
      </w:r>
    </w:p>
    <w:p w14:paraId="343C7671">
      <w:pPr>
        <w:spacing w:before="120" w:after="120" w:line="288" w:lineRule="auto"/>
        <w:rPr>
          <w:rFonts w:ascii="Times New Roman" w:hAnsi="Times New Roman" w:cs="Times New Roman"/>
          <w:b/>
          <w:sz w:val="26"/>
          <w:szCs w:val="26"/>
        </w:rPr>
      </w:pPr>
      <w:r>
        <w:rPr>
          <w:rFonts w:ascii="Times New Roman" w:hAnsi="Times New Roman" w:cs="Times New Roman"/>
          <w:b/>
          <w:sz w:val="26"/>
          <w:szCs w:val="26"/>
        </w:rPr>
        <w:br w:type="page"/>
      </w:r>
    </w:p>
    <w:p w14:paraId="67D1DDBE">
      <w:bookmarkStart w:id="3" w:name="_GoBack"/>
      <w:bookmarkEnd w:id="3"/>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algun Gothic">
    <w:panose1 w:val="020B0503020000020004"/>
    <w:charset w:val="81"/>
    <w:family w:val="swiss"/>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508B8"/>
    <w:multiLevelType w:val="multilevel"/>
    <w:tmpl w:val="06A508B8"/>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1">
    <w:nsid w:val="181F210D"/>
    <w:multiLevelType w:val="multilevel"/>
    <w:tmpl w:val="181F210D"/>
    <w:lvl w:ilvl="0" w:tentative="0">
      <w:start w:val="1"/>
      <w:numFmt w:val="decimal"/>
      <w:lvlText w:val="1.%1. "/>
      <w:lvlJc w:val="left"/>
      <w:pPr>
        <w:ind w:left="720" w:hanging="360"/>
      </w:pPr>
    </w:lvl>
    <w:lvl w:ilvl="1" w:tentative="0">
      <w:start w:val="1"/>
      <w:numFmt w:val="upperRoman"/>
      <w:lvlText w:val="%2."/>
      <w:lvlJc w:val="right"/>
      <w:pPr>
        <w:ind w:left="1440" w:hanging="360"/>
      </w:pPr>
      <w:rPr>
        <w:b/>
      </w:rPr>
    </w:lvl>
    <w:lvl w:ilvl="2" w:tentative="0">
      <w:start w:val="1"/>
      <w:numFmt w:val="decimal"/>
      <w:lvlText w:val="%3."/>
      <w:lvlJc w:val="left"/>
      <w:pPr>
        <w:ind w:left="2850" w:hanging="870"/>
      </w:pPr>
    </w:lvl>
    <w:lvl w:ilvl="3" w:tentative="0">
      <w:start w:val="1"/>
      <w:numFmt w:val="lowerLetter"/>
      <w:lvlText w:val="%4."/>
      <w:lvlJc w:val="left"/>
      <w:pPr>
        <w:ind w:left="3090" w:hanging="57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3442BFE"/>
    <w:multiLevelType w:val="multilevel"/>
    <w:tmpl w:val="23442BFE"/>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3">
    <w:nsid w:val="2FD0729D"/>
    <w:multiLevelType w:val="multilevel"/>
    <w:tmpl w:val="2FD0729D"/>
    <w:lvl w:ilvl="0" w:tentative="0">
      <w:start w:val="1"/>
      <w:numFmt w:val="bullet"/>
      <w:lvlText w:val=""/>
      <w:lvlJc w:val="left"/>
      <w:pPr>
        <w:ind w:left="2449" w:hanging="360"/>
      </w:pPr>
      <w:rPr>
        <w:rFonts w:hint="default" w:ascii="Wingdings" w:hAnsi="Wingdings"/>
      </w:rPr>
    </w:lvl>
    <w:lvl w:ilvl="1" w:tentative="0">
      <w:start w:val="1"/>
      <w:numFmt w:val="bullet"/>
      <w:lvlText w:val="o"/>
      <w:lvlJc w:val="left"/>
      <w:pPr>
        <w:ind w:left="3169" w:hanging="360"/>
      </w:pPr>
      <w:rPr>
        <w:rFonts w:hint="default" w:ascii="Courier New" w:hAnsi="Courier New" w:cs="Courier New"/>
      </w:rPr>
    </w:lvl>
    <w:lvl w:ilvl="2" w:tentative="0">
      <w:start w:val="1"/>
      <w:numFmt w:val="bullet"/>
      <w:lvlText w:val=""/>
      <w:lvlJc w:val="left"/>
      <w:pPr>
        <w:ind w:left="3889" w:hanging="360"/>
      </w:pPr>
      <w:rPr>
        <w:rFonts w:hint="default" w:ascii="Wingdings" w:hAnsi="Wingdings"/>
      </w:rPr>
    </w:lvl>
    <w:lvl w:ilvl="3" w:tentative="0">
      <w:start w:val="1"/>
      <w:numFmt w:val="bullet"/>
      <w:lvlText w:val=""/>
      <w:lvlJc w:val="left"/>
      <w:pPr>
        <w:ind w:left="4609" w:hanging="360"/>
      </w:pPr>
      <w:rPr>
        <w:rFonts w:hint="default" w:ascii="Symbol" w:hAnsi="Symbol"/>
      </w:rPr>
    </w:lvl>
    <w:lvl w:ilvl="4" w:tentative="0">
      <w:start w:val="1"/>
      <w:numFmt w:val="bullet"/>
      <w:lvlText w:val="o"/>
      <w:lvlJc w:val="left"/>
      <w:pPr>
        <w:ind w:left="5329" w:hanging="360"/>
      </w:pPr>
      <w:rPr>
        <w:rFonts w:hint="default" w:ascii="Courier New" w:hAnsi="Courier New" w:cs="Courier New"/>
      </w:rPr>
    </w:lvl>
    <w:lvl w:ilvl="5" w:tentative="0">
      <w:start w:val="1"/>
      <w:numFmt w:val="bullet"/>
      <w:lvlText w:val=""/>
      <w:lvlJc w:val="left"/>
      <w:pPr>
        <w:ind w:left="6049" w:hanging="360"/>
      </w:pPr>
      <w:rPr>
        <w:rFonts w:hint="default" w:ascii="Wingdings" w:hAnsi="Wingdings"/>
      </w:rPr>
    </w:lvl>
    <w:lvl w:ilvl="6" w:tentative="0">
      <w:start w:val="1"/>
      <w:numFmt w:val="bullet"/>
      <w:lvlText w:val=""/>
      <w:lvlJc w:val="left"/>
      <w:pPr>
        <w:ind w:left="6769" w:hanging="360"/>
      </w:pPr>
      <w:rPr>
        <w:rFonts w:hint="default" w:ascii="Symbol" w:hAnsi="Symbol"/>
      </w:rPr>
    </w:lvl>
    <w:lvl w:ilvl="7" w:tentative="0">
      <w:start w:val="1"/>
      <w:numFmt w:val="bullet"/>
      <w:lvlText w:val="o"/>
      <w:lvlJc w:val="left"/>
      <w:pPr>
        <w:ind w:left="7489" w:hanging="360"/>
      </w:pPr>
      <w:rPr>
        <w:rFonts w:hint="default" w:ascii="Courier New" w:hAnsi="Courier New" w:cs="Courier New"/>
      </w:rPr>
    </w:lvl>
    <w:lvl w:ilvl="8" w:tentative="0">
      <w:start w:val="1"/>
      <w:numFmt w:val="bullet"/>
      <w:lvlText w:val=""/>
      <w:lvlJc w:val="left"/>
      <w:pPr>
        <w:ind w:left="8209" w:hanging="360"/>
      </w:pPr>
      <w:rPr>
        <w:rFonts w:hint="default" w:ascii="Wingdings" w:hAnsi="Wingdings"/>
      </w:rPr>
    </w:lvl>
  </w:abstractNum>
  <w:abstractNum w:abstractNumId="4">
    <w:nsid w:val="312B7B7C"/>
    <w:multiLevelType w:val="multilevel"/>
    <w:tmpl w:val="312B7B7C"/>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5">
    <w:nsid w:val="33335A7C"/>
    <w:multiLevelType w:val="multilevel"/>
    <w:tmpl w:val="33335A7C"/>
    <w:lvl w:ilvl="0" w:tentative="0">
      <w:start w:val="1"/>
      <w:numFmt w:val="lowerLetter"/>
      <w:lvlText w:val="%1."/>
      <w:lvlJc w:val="left"/>
      <w:pPr>
        <w:ind w:left="578" w:firstLine="0"/>
      </w:pPr>
      <w:rPr>
        <w:rFonts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1080" w:firstLine="0"/>
      </w:pPr>
      <w:rPr>
        <w:rFonts w:ascii="Arial" w:hAnsi="Arial" w:eastAsia="Arial" w:cs="Arial"/>
        <w:b w:val="0"/>
        <w:i w:val="0"/>
        <w:strike w:val="0"/>
        <w:dstrike w:val="0"/>
        <w:color w:val="000000"/>
        <w:sz w:val="22"/>
        <w:u w:val="none" w:color="000000"/>
        <w:vertAlign w:val="baseline"/>
      </w:rPr>
    </w:lvl>
    <w:lvl w:ilvl="2" w:tentative="0">
      <w:start w:val="1"/>
      <w:numFmt w:val="lowerRoman"/>
      <w:lvlText w:val="%3"/>
      <w:lvlJc w:val="left"/>
      <w:pPr>
        <w:ind w:left="1800" w:firstLine="0"/>
      </w:pPr>
      <w:rPr>
        <w:rFonts w:ascii="Arial" w:hAnsi="Arial" w:eastAsia="Arial" w:cs="Arial"/>
        <w:b w:val="0"/>
        <w:i w:val="0"/>
        <w:strike w:val="0"/>
        <w:dstrike w:val="0"/>
        <w:color w:val="000000"/>
        <w:sz w:val="22"/>
        <w:u w:val="none" w:color="000000"/>
        <w:vertAlign w:val="baseline"/>
      </w:rPr>
    </w:lvl>
    <w:lvl w:ilvl="3" w:tentative="0">
      <w:start w:val="1"/>
      <w:numFmt w:val="decimal"/>
      <w:lvlText w:val="%4"/>
      <w:lvlJc w:val="left"/>
      <w:pPr>
        <w:ind w:left="2520" w:firstLine="0"/>
      </w:pPr>
      <w:rPr>
        <w:rFonts w:ascii="Arial" w:hAnsi="Arial" w:eastAsia="Arial" w:cs="Arial"/>
        <w:b w:val="0"/>
        <w:i w:val="0"/>
        <w:strike w:val="0"/>
        <w:dstrike w:val="0"/>
        <w:color w:val="000000"/>
        <w:sz w:val="22"/>
        <w:u w:val="none" w:color="000000"/>
        <w:vertAlign w:val="baseline"/>
      </w:rPr>
    </w:lvl>
    <w:lvl w:ilvl="4" w:tentative="0">
      <w:start w:val="1"/>
      <w:numFmt w:val="lowerLetter"/>
      <w:lvlText w:val="%5"/>
      <w:lvlJc w:val="left"/>
      <w:pPr>
        <w:ind w:left="3240" w:firstLine="0"/>
      </w:pPr>
      <w:rPr>
        <w:rFonts w:ascii="Arial" w:hAnsi="Arial" w:eastAsia="Arial" w:cs="Arial"/>
        <w:b w:val="0"/>
        <w:i w:val="0"/>
        <w:strike w:val="0"/>
        <w:dstrike w:val="0"/>
        <w:color w:val="000000"/>
        <w:sz w:val="22"/>
        <w:u w:val="none" w:color="000000"/>
        <w:vertAlign w:val="baseline"/>
      </w:rPr>
    </w:lvl>
    <w:lvl w:ilvl="5" w:tentative="0">
      <w:start w:val="1"/>
      <w:numFmt w:val="lowerRoman"/>
      <w:lvlText w:val="%6"/>
      <w:lvlJc w:val="left"/>
      <w:pPr>
        <w:ind w:left="3960" w:firstLine="0"/>
      </w:pPr>
      <w:rPr>
        <w:rFonts w:ascii="Arial" w:hAnsi="Arial" w:eastAsia="Arial" w:cs="Arial"/>
        <w:b w:val="0"/>
        <w:i w:val="0"/>
        <w:strike w:val="0"/>
        <w:dstrike w:val="0"/>
        <w:color w:val="000000"/>
        <w:sz w:val="22"/>
        <w:u w:val="none" w:color="000000"/>
        <w:vertAlign w:val="baseline"/>
      </w:rPr>
    </w:lvl>
    <w:lvl w:ilvl="6" w:tentative="0">
      <w:start w:val="1"/>
      <w:numFmt w:val="decimal"/>
      <w:lvlText w:val="%7"/>
      <w:lvlJc w:val="left"/>
      <w:pPr>
        <w:ind w:left="4680" w:firstLine="0"/>
      </w:pPr>
      <w:rPr>
        <w:rFonts w:ascii="Arial" w:hAnsi="Arial" w:eastAsia="Arial" w:cs="Arial"/>
        <w:b w:val="0"/>
        <w:i w:val="0"/>
        <w:strike w:val="0"/>
        <w:dstrike w:val="0"/>
        <w:color w:val="000000"/>
        <w:sz w:val="22"/>
        <w:u w:val="none" w:color="000000"/>
        <w:vertAlign w:val="baseline"/>
      </w:rPr>
    </w:lvl>
    <w:lvl w:ilvl="7" w:tentative="0">
      <w:start w:val="1"/>
      <w:numFmt w:val="lowerLetter"/>
      <w:lvlText w:val="%8"/>
      <w:lvlJc w:val="left"/>
      <w:pPr>
        <w:ind w:left="5400" w:firstLine="0"/>
      </w:pPr>
      <w:rPr>
        <w:rFonts w:ascii="Arial" w:hAnsi="Arial" w:eastAsia="Arial" w:cs="Arial"/>
        <w:b w:val="0"/>
        <w:i w:val="0"/>
        <w:strike w:val="0"/>
        <w:dstrike w:val="0"/>
        <w:color w:val="000000"/>
        <w:sz w:val="22"/>
        <w:u w:val="none" w:color="000000"/>
        <w:vertAlign w:val="baseline"/>
      </w:rPr>
    </w:lvl>
    <w:lvl w:ilvl="8" w:tentative="0">
      <w:start w:val="1"/>
      <w:numFmt w:val="lowerRoman"/>
      <w:lvlText w:val="%9"/>
      <w:lvlJc w:val="left"/>
      <w:pPr>
        <w:ind w:left="6120" w:firstLine="0"/>
      </w:pPr>
      <w:rPr>
        <w:rFonts w:ascii="Arial" w:hAnsi="Arial" w:eastAsia="Arial" w:cs="Arial"/>
        <w:b w:val="0"/>
        <w:i w:val="0"/>
        <w:strike w:val="0"/>
        <w:dstrike w:val="0"/>
        <w:color w:val="000000"/>
        <w:sz w:val="22"/>
        <w:u w:val="none" w:color="000000"/>
        <w:vertAlign w:val="baseline"/>
      </w:rPr>
    </w:lvl>
  </w:abstractNum>
  <w:abstractNum w:abstractNumId="6">
    <w:nsid w:val="484A0A29"/>
    <w:multiLevelType w:val="multilevel"/>
    <w:tmpl w:val="484A0A29"/>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7">
    <w:nsid w:val="5D1A7846"/>
    <w:multiLevelType w:val="multilevel"/>
    <w:tmpl w:val="5D1A7846"/>
    <w:lvl w:ilvl="0" w:tentative="0">
      <w:start w:val="1"/>
      <w:numFmt w:val="decimal"/>
      <w:lvlText w:val="%1."/>
      <w:lvlJc w:val="left"/>
      <w:pPr>
        <w:ind w:left="0" w:firstLine="0"/>
      </w:pPr>
      <w:rPr>
        <w:rFonts w:hint="default" w:ascii="Arial" w:hAnsi="Arial" w:eastAsia="Malgun Gothic" w:cs="Arial"/>
        <w:b/>
        <w:bCs/>
        <w:i w:val="0"/>
        <w:iCs w:val="0"/>
        <w:smallCaps w:val="0"/>
        <w:strike w:val="0"/>
        <w:dstrike w:val="0"/>
        <w:color w:val="000000"/>
        <w:spacing w:val="0"/>
        <w:w w:val="100"/>
        <w:position w:val="0"/>
        <w:sz w:val="22"/>
        <w:szCs w:val="22"/>
        <w:u w:val="none"/>
        <w:lang w:val="fr-FR"/>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E76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59" w:semiHidden="0" w:name="Table Grid"/>
    <w:lsdException w:qFormat="1" w:unhideWhenUsed="0" w:uiPriority="1"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3">
    <w:name w:val="Hyperlink"/>
    <w:basedOn w:val="2"/>
    <w:unhideWhenUsed/>
    <w:qFormat/>
    <w:uiPriority w:val="99"/>
    <w:rPr>
      <w:color w:val="0563C1" w:themeColor="hyperlink"/>
      <w:u w:val="single"/>
      <w14:textFill>
        <w14:solidFill>
          <w14:schemeClr w14:val="hlink"/>
        </w14:solidFill>
      </w14:textFill>
    </w:rPr>
  </w:style>
  <w:style w:type="paragraph" w:styleId="4">
    <w:name w:val="toc 1"/>
    <w:basedOn w:val="1"/>
    <w:next w:val="1"/>
    <w:unhideWhenUsed/>
    <w:qFormat/>
    <w:uiPriority w:val="39"/>
    <w:pPr>
      <w:spacing w:after="100" w:line="228" w:lineRule="auto"/>
      <w:ind w:hanging="10"/>
    </w:pPr>
    <w:rPr>
      <w:rFonts w:ascii="Arial" w:hAnsi="Arial" w:eastAsia="Arial" w:cs="Arial"/>
      <w:color w:val="000000"/>
      <w:lang w:eastAsia="fr-FR"/>
    </w:rPr>
  </w:style>
  <w:style w:type="table" w:customStyle="1" w:styleId="6">
    <w:name w:val="TableGrid"/>
    <w:qFormat/>
    <w:uiPriority w:val="0"/>
    <w:pPr>
      <w:spacing w:after="0" w:line="240" w:lineRule="auto"/>
    </w:pPr>
    <w:rPr>
      <w:rFonts w:eastAsiaTheme="minorEastAsia"/>
      <w:lang w:eastAsia="fr-FR"/>
    </w:rPr>
    <w:tblPr>
      <w:tblCellMar>
        <w:top w:w="0" w:type="dxa"/>
        <w:left w:w="0" w:type="dxa"/>
        <w:bottom w:w="0" w:type="dxa"/>
        <w:right w:w="0" w:type="dxa"/>
      </w:tblCellMar>
    </w:tblPr>
  </w:style>
  <w:style w:type="paragraph" w:styleId="7">
    <w:name w:val="List Paragraph"/>
    <w:basedOn w:val="1"/>
    <w:qFormat/>
    <w:uiPriority w:val="1"/>
    <w:pPr>
      <w:spacing w:after="59" w:line="228" w:lineRule="auto"/>
      <w:ind w:left="720" w:hanging="10"/>
      <w:contextualSpacing/>
    </w:pPr>
    <w:rPr>
      <w:rFonts w:ascii="Arial" w:hAnsi="Arial" w:eastAsia="Arial" w:cs="Arial"/>
      <w:color w:val="000000"/>
      <w:lang w:eastAsia="fr-FR"/>
    </w:rPr>
  </w:style>
  <w:style w:type="table" w:styleId="8">
    <w:name w:val="Table Grid"/>
    <w:basedOn w:val="5"/>
    <w:qFormat/>
    <w:uiPriority w:val="59"/>
    <w:pPr>
      <w:spacing w:after="0" w:line="240" w:lineRule="auto"/>
    </w:pPr>
    <w:rPr>
      <w:rFonts w:eastAsiaTheme="minorEastAsia"/>
      <w:lang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2025-11-24T15:00:23Z</dcterms:created>
  <dc:creator>LEADER</dc:creator>
  <cp:lastModifiedBy>E-audit pro</cp:lastModifiedBy>
  <dcterms:modified xsi:type="dcterms:W3CDTF">2025-11-24T15:00:29Z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6DCBE3D30B054407898C3B73F3F37AAF_12</vt:lpwstr>
  </property>
</Properties>
</file>