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rPr>
        <w:t>RAPPORT D'AUDIT</w:t>
      </w:r>
    </w:p>
    <w:p>
      <w:pPr>
        <w:jc w:val="center"/>
      </w:pPr>
      <w:r>
        <w:rPr>
          <w:i/>
          <w:sz w:val="28"/>
        </w:rPr>
        <w:t>Synthèse des FRAP</w:t>
      </w:r>
    </w:p>
    <w:p/>
    <w:p>
      <w:pPr>
        <w:pStyle w:val="Heading1"/>
      </w:pPr>
      <w:r>
        <w:rPr>
          <w:color w:val="1E3A8A"/>
        </w:rPr>
        <w:t>1. Défaillance dans la validation et la formalisation des rapprochements bancaires</w:t>
      </w:r>
    </w:p>
    <w:p>
      <w:r>
        <w:rPr>
          <w:b/>
          <w:color w:val="1E3A8A"/>
          <w:sz w:val="22"/>
        </w:rPr>
        <w:t>Observation/Analyse</w:t>
      </w:r>
    </w:p>
    <w:p>
      <w:pPr>
        <w:ind w:left="283"/>
      </w:pPr>
      <w:r>
        <w:t>La procédure interne de gestion de la trésorerie stipule que les rapprochements bancaires doivent être établis mensuellement par le service comptable et validés par la signature du Directeur Administratif et Financier (DAF) afin d'assurer l'exactitude et l'exhaustivité des soldes bancaires. Nos travaux ont consisté à examiner les dossiers de rapprochements bancaires pour la période allant de juin à décembre 2025, en nous focalisant sur l'application de cette procédure de validation et sur les assertions de Validité et de Formalisation.</w:t>
      </w:r>
    </w:p>
    <w:p>
      <w:r>
        <w:rPr>
          <w:b/>
          <w:color w:val="1E3A8A"/>
          <w:sz w:val="22"/>
        </w:rPr>
        <w:t>Constat</w:t>
      </w:r>
    </w:p>
    <w:p>
      <w:pPr>
        <w:ind w:left="283"/>
      </w:pPr>
      <w:r>
        <w:t>- Nous avons constaté l'inexistence de rapprochements bancaires signés par le DAF pour les mois de juin à décembre 2025. - Cette absence de validation contrevient directement à la procédure interne qui exige la formalisation de ce contrôle clé. - L'assertion de Formalisation est violée, car le contrôle de validation par le DAF n'est pas documenté. - L'assertion de Validité est compromise, car l'absence de revue indépendante par le DAF ne garantit pas la fiabilité des soldes bancaires présentés.</w:t>
      </w:r>
    </w:p>
    <w:p>
      <w:r>
        <w:rPr>
          <w:b/>
          <w:color w:val="1E3A8A"/>
          <w:sz w:val="22"/>
        </w:rPr>
        <w:t>Risque(s) / Incidence(s)</w:t>
      </w:r>
    </w:p>
    <w:p>
      <w:pPr>
        <w:ind w:left="283"/>
      </w:pPr>
      <w:r>
        <w:t>• Risque d'erreurs ou d'anomalies significatives non détectées dans les enregistrements bancaires. - Risque de fraude ou de détournement de fonds non identifié en temps utile. - Risque d'information financière non fiable concernant les soldes de trésorerie (impact sur l'assertion d'Exactitude). - Risque de prise de décision erronée par la direction basée sur des données de trésorerie inexactes. - Risque de non-conformité aux procédures internes et aux exigences réglementaires en matière de contrôle interne. - Risque de perte financière directe pour l'entreprise due à des transactions non autorisées ou des erreurs non corrigées.</w:t>
      </w:r>
    </w:p>
    <w:p/>
    <w:p>
      <w:pPr>
        <w:jc w:val="center"/>
      </w:pPr>
      <w:r>
        <w:rPr>
          <w:color w:val="C8C8C8"/>
        </w:rPr>
        <w:t>──────────────────────────────────────────────────</w:t>
      </w:r>
    </w:p>
    <w:p/>
    <w:p>
      <w:pPr>
        <w:pStyle w:val="Heading1"/>
      </w:pPr>
      <w:r>
        <w:rPr>
          <w:color w:val="1E3A8A"/>
        </w:rPr>
        <w:t>3. Absence de validation formelle des rapprochements bancaires par la Direction Financière</w:t>
      </w:r>
    </w:p>
    <w:p>
      <w:r>
        <w:rPr>
          <w:b/>
          <w:color w:val="1E3A8A"/>
          <w:sz w:val="22"/>
        </w:rPr>
        <w:t>Observation/Analyse</w:t>
      </w:r>
    </w:p>
    <w:p>
      <w:pPr>
        <w:ind w:left="283"/>
      </w:pPr>
      <w:r>
        <w:t>Le processus d'élaboration des rapprochements bancaires prévoit que ces derniers, une fois préparés par le comptable, doivent être revus et validés (signés et datés) par le Directeur Administratif et Financier (DAF) ou le Trésorier. Cette étape de validation est cruciale pour confirmer l'exactitude des soldes de trésorerie et la détection rapide de toute anomalie. Nos travaux ont consisté à examiner les dossiers de rapprochements bancaires pour la période allant de juin à décembre 2025. L'objectif était de vérifier l'application de cette procédure de validation et la présence des signatures requises, en lien avec les assertions de Validité et de Formalisation.</w:t>
      </w:r>
    </w:p>
    <w:p>
      <w:r>
        <w:rPr>
          <w:b/>
          <w:color w:val="1E3A8A"/>
          <w:sz w:val="22"/>
        </w:rPr>
        <w:t>Constat</w:t>
      </w:r>
    </w:p>
    <w:p>
      <w:pPr>
        <w:ind w:left="283"/>
      </w:pPr>
      <w:r>
        <w:t>- Nous avons constaté l'inexistence de signatures de validation du DAF ou du Trésorier sur l'ensemble des rapprochements bancaires examinés pour les mois de juin à décembre 2025. - Les rapprochements sont préparés, mais l'étape de contrôle de second niveau par la Direction Financière n'est pas formalisée, ce qui constitue un écart significatif par rapport à la procédure interne. - Cette absence de validation compromet directement l'assertion de Formalisation et affaiblit le dispositif de contrôle interne sur la trésorerie.</w:t>
      </w:r>
    </w:p>
    <w:p>
      <w:r>
        <w:rPr>
          <w:b/>
          <w:color w:val="1E3A8A"/>
          <w:sz w:val="22"/>
        </w:rPr>
        <w:t>Risque(s) / Incidence(s)</w:t>
      </w:r>
    </w:p>
    <w:p>
      <w:pPr>
        <w:ind w:left="283"/>
      </w:pPr>
      <w:r>
        <w:t>• Risque d'erreurs ou d'anomalies (ex: encaissements non enregistrés, décaissements non autorisés) non détectées dans les relevés bancaires ou les enregistrements comptables (impact sur l'Assertion de Validité et d'Exactitude). - Risque de détournement de fonds ou de fraude facilité par l'absence de contrôle indépendant sur les mouvements de trésorerie. - Risque d'information financière non fiable concernant la position de trésorerie de l'entreprise, pouvant induire en erreur la direction. - Risque de prise de décision erronée par la direction basée sur des soldes de trésorerie potentiellement inexacts. - Risque de non-conformité aux politiques internes de contrôle et aux bonnes pratiques de gestion de trésorerie.</w:t>
      </w:r>
    </w:p>
    <w:p/>
    <w:p>
      <w:pPr>
        <w:jc w:val="center"/>
      </w:pPr>
      <w:r>
        <w:rPr>
          <w:color w:val="C8C8C8"/>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