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SYNTHÈSE CAC - RAPPORT D'AUDIT</w:t>
      </w:r>
    </w:p>
    <w:p>
      <w:r>
        <w:t>Date du rapport: 2026-03-25</w:t>
      </w:r>
    </w:p>
    <w:p/>
    <w:p>
      <w:pPr>
        <w:pStyle w:val="Heading1"/>
      </w:pPr>
      <w:r>
        <w:t>2. OBSERVATIONS D'AUDIT</w:t>
      </w:r>
    </w:p>
    <w:p/>
    <w:p>
      <w:pPr>
        <w:pStyle w:val="Heading2"/>
      </w:pPr>
      <w:r>
        <w:t>Sommaire des observations</w:t>
      </w:r>
    </w:p>
    <w:p>
      <w:pPr>
        <w:pStyle w:val="ListNumber"/>
      </w:pPr>
      <w:r>
        <w:t>1. Depenses de caisse non appuyees</w:t>
      </w:r>
    </w:p>
    <w:p/>
    <w:p>
      <w:pPr>
        <w:pStyle w:val="Heading2"/>
      </w:pPr>
      <w:r>
        <w:t>2.1. Depenses de caisse non appuyees</w:t>
      </w:r>
    </w:p>
    <w:p>
      <w:pPr>
        <w:spacing w:after="120" w:line="276" w:lineRule="auto"/>
        <w:ind w:left="360"/>
      </w:pPr>
      <w:r>
        <w:rPr>
          <w:rFonts w:ascii="Calibri" w:hAnsi="Calibri"/>
          <w:b/>
          <w:sz w:val="22"/>
        </w:rPr>
        <w:t xml:space="preserve">Description: </w:t>
      </w:r>
      <w:r>
        <w:rPr>
          <w:rFonts w:ascii="Calibri" w:hAnsi="Calibri"/>
          <w:sz w:val="22"/>
        </w:rPr>
        <w:t>Nous avons mis en oeuvre une procedure de rapprochement.</w:t>
      </w:r>
    </w:p>
    <w:p>
      <w:pPr>
        <w:spacing w:after="120" w:line="276" w:lineRule="auto"/>
        <w:ind w:left="360"/>
      </w:pPr>
      <w:r>
        <w:rPr>
          <w:rFonts w:ascii="Calibri" w:hAnsi="Calibri"/>
          <w:b/>
          <w:sz w:val="22"/>
        </w:rPr>
        <w:t xml:space="preserve">Observation: </w:t>
      </w:r>
      <w:r>
        <w:rPr>
          <w:rFonts w:ascii="Calibri" w:hAnsi="Calibri"/>
          <w:sz w:val="22"/>
        </w:rPr>
        <w:t>Le rapprochement fait ressortir un ecart de 600 000 FCFA.</w:t>
      </w:r>
    </w:p>
    <w:p>
      <w:pPr>
        <w:spacing w:after="120" w:line="276" w:lineRule="auto"/>
        <w:ind w:left="360"/>
      </w:pPr>
      <w:r>
        <w:rPr>
          <w:rFonts w:ascii="Calibri" w:hAnsi="Calibri"/>
          <w:b/>
          <w:sz w:val="22"/>
        </w:rPr>
        <w:t xml:space="preserve">Ajustement proposé: </w:t>
      </w:r>
      <w:r>
        <w:rPr>
          <w:rFonts w:ascii="Calibri" w:hAnsi="Calibri"/>
          <w:sz w:val="22"/>
        </w:rPr>
        <w:t>Nous proposons un ajustement pour sur-evaluation de charges.</w:t>
      </w:r>
    </w:p>
    <w:p>
      <w:pPr>
        <w:spacing w:after="120" w:line="276" w:lineRule="auto"/>
        <w:ind w:left="360"/>
      </w:pPr>
      <w:r>
        <w:rPr>
          <w:rFonts w:ascii="Calibri" w:hAnsi="Calibri"/>
          <w:b/>
          <w:sz w:val="22"/>
        </w:rPr>
        <w:t xml:space="preserve">Régularisation: </w:t>
      </w:r>
      <w:r>
        <w:rPr>
          <w:rFonts w:ascii="Calibri" w:hAnsi="Calibri"/>
          <w:sz w:val="22"/>
        </w:rPr>
        <w:t>Debit du compte 571 000 - Caisse pour 600 000 FCFA TTC.</w:t>
      </w:r>
    </w:p>
    <w:p/>
    <w:p>
      <w:pPr>
        <w:pStyle w:val="Heading1"/>
      </w:pPr>
      <w:r>
        <w:t>3. POINTS DE CONTRÔLE INTERNE</w:t>
      </w:r>
    </w:p>
    <w:p/>
    <w:p>
      <w:pPr>
        <w:pStyle w:val="Heading2"/>
      </w:pPr>
      <w:r>
        <w:t>Sommaire des points de contrôle interne</w:t>
      </w:r>
    </w:p>
    <w:p>
      <w:pPr>
        <w:pStyle w:val="ListNumber"/>
      </w:pPr>
      <w:r>
        <w:t>1. Perte de liasses de facturation</w:t>
      </w:r>
    </w:p>
    <w:p>
      <w:pPr>
        <w:pStyle w:val="ListNumber"/>
      </w:pPr>
      <w:r>
        <w:t>2. Absence de rapprochement bancaire</w:t>
      </w:r>
    </w:p>
    <w:p/>
    <w:p>
      <w:pPr>
        <w:pStyle w:val="Heading2"/>
      </w:pPr>
      <w:r>
        <w:t>3.1. Perte de liasses de facturation</w:t>
      </w:r>
    </w:p>
    <w:p>
      <w:pPr>
        <w:pStyle w:val="IntenseQuote"/>
      </w:pPr>
      <w:r>
        <w:t>Type: FRAP</w:t>
      </w:r>
    </w:p>
    <w:p>
      <w:pPr>
        <w:spacing w:after="120" w:line="276" w:lineRule="auto"/>
        <w:ind w:left="360"/>
      </w:pPr>
      <w:r>
        <w:rPr>
          <w:rFonts w:ascii="Calibri" w:hAnsi="Calibri"/>
          <w:b/>
          <w:sz w:val="22"/>
        </w:rPr>
        <w:t xml:space="preserve">Observation: </w:t>
      </w:r>
      <w:r>
        <w:rPr>
          <w:rFonts w:ascii="Calibri" w:hAnsi="Calibri"/>
          <w:sz w:val="22"/>
        </w:rPr>
        <w:t>La procedure de gestion des ventes exige une numerotation sequentielle.</w:t>
      </w:r>
    </w:p>
    <w:p>
      <w:pPr>
        <w:spacing w:after="120" w:line="276" w:lineRule="auto"/>
        <w:ind w:left="360"/>
      </w:pPr>
      <w:r>
        <w:rPr>
          <w:rFonts w:ascii="Calibri" w:hAnsi="Calibri"/>
          <w:b/>
          <w:sz w:val="22"/>
        </w:rPr>
        <w:t xml:space="preserve">Constat: </w:t>
      </w:r>
      <w:r>
        <w:rPr>
          <w:rFonts w:ascii="Calibri" w:hAnsi="Calibri"/>
          <w:sz w:val="22"/>
        </w:rPr>
        <w:t>Inexistence d'un rapprochement formalise</w:t>
      </w:r>
    </w:p>
    <w:p>
      <w:pPr>
        <w:spacing w:after="120" w:line="276" w:lineRule="auto"/>
        <w:ind w:left="360"/>
      </w:pPr>
      <w:r>
        <w:rPr>
          <w:rFonts w:ascii="Calibri" w:hAnsi="Calibri"/>
          <w:b/>
          <w:sz w:val="22"/>
        </w:rPr>
        <w:t xml:space="preserve">Risque: </w:t>
      </w:r>
      <w:r>
        <w:rPr>
          <w:rFonts w:ascii="Calibri" w:hAnsi="Calibri"/>
          <w:sz w:val="22"/>
        </w:rPr>
        <w:t>Risque de perte financiere directe</w:t>
      </w:r>
    </w:p>
    <w:p>
      <w:pPr>
        <w:spacing w:after="120" w:line="276" w:lineRule="auto"/>
        <w:ind w:left="360"/>
      </w:pPr>
      <w:r>
        <w:rPr>
          <w:rFonts w:ascii="Calibri" w:hAnsi="Calibri"/>
          <w:b/>
          <w:sz w:val="22"/>
        </w:rPr>
        <w:t xml:space="preserve">Recommandation: </w:t>
      </w:r>
      <w:r>
        <w:rPr>
          <w:rFonts w:ascii="Calibri" w:hAnsi="Calibri"/>
          <w:sz w:val="22"/>
        </w:rPr>
        <w:t>Rendre obligatoire le rapprochement hebdomadaire</w:t>
      </w:r>
    </w:p>
    <w:p/>
    <w:p>
      <w:pPr>
        <w:pStyle w:val="Heading2"/>
      </w:pPr>
      <w:r>
        <w:t>3.2. Absence de rapprochement bancaire</w:t>
      </w:r>
    </w:p>
    <w:p>
      <w:pPr>
        <w:pStyle w:val="IntenseQuote"/>
      </w:pPr>
      <w:r>
        <w:t>Type: Recos CI</w:t>
      </w:r>
    </w:p>
    <w:p>
      <w:pPr>
        <w:spacing w:after="120" w:line="276" w:lineRule="auto"/>
        <w:ind w:left="360"/>
      </w:pPr>
      <w:r>
        <w:rPr>
          <w:rFonts w:ascii="Calibri" w:hAnsi="Calibri"/>
          <w:b/>
          <w:sz w:val="22"/>
        </w:rPr>
        <w:t xml:space="preserve">Observation: </w:t>
      </w:r>
      <w:r>
        <w:rPr>
          <w:rFonts w:ascii="Calibri" w:hAnsi="Calibri"/>
          <w:sz w:val="22"/>
        </w:rPr>
        <w:t>Toute entite doit effectuer un rapprochement bancaire mensuel.</w:t>
      </w:r>
    </w:p>
    <w:p>
      <w:pPr>
        <w:spacing w:after="120" w:line="276" w:lineRule="auto"/>
        <w:ind w:left="360"/>
      </w:pPr>
      <w:r>
        <w:rPr>
          <w:rFonts w:ascii="Calibri" w:hAnsi="Calibri"/>
          <w:b/>
          <w:sz w:val="22"/>
        </w:rPr>
        <w:t xml:space="preserve">Constat: </w:t>
      </w:r>
      <w:r>
        <w:rPr>
          <w:rFonts w:ascii="Calibri" w:hAnsi="Calibri"/>
          <w:sz w:val="22"/>
        </w:rPr>
        <w:t>Inexistence de rapprochements bancaires formalises.</w:t>
      </w:r>
    </w:p>
    <w:p>
      <w:pPr>
        <w:spacing w:after="120" w:line="276" w:lineRule="auto"/>
        <w:ind w:left="360"/>
      </w:pPr>
      <w:r>
        <w:rPr>
          <w:rFonts w:ascii="Calibri" w:hAnsi="Calibri"/>
          <w:b/>
          <w:sz w:val="22"/>
        </w:rPr>
        <w:t xml:space="preserve">Risque: </w:t>
      </w:r>
      <w:r>
        <w:rPr>
          <w:rFonts w:ascii="Calibri" w:hAnsi="Calibri"/>
          <w:sz w:val="22"/>
        </w:rPr>
        <w:t>Detournement d'actifs non detecte</w:t>
      </w:r>
    </w:p>
    <w:p>
      <w:pPr>
        <w:spacing w:after="120" w:line="276" w:lineRule="auto"/>
        <w:ind w:left="360"/>
      </w:pPr>
      <w:r>
        <w:rPr>
          <w:rFonts w:ascii="Calibri" w:hAnsi="Calibri"/>
          <w:b/>
          <w:sz w:val="22"/>
        </w:rPr>
        <w:t xml:space="preserve">Recommandation: </w:t>
      </w:r>
      <w:r>
        <w:rPr>
          <w:rFonts w:ascii="Calibri" w:hAnsi="Calibri"/>
          <w:sz w:val="22"/>
        </w:rPr>
        <w:t>Rendre obligatoire le rapprochement bancaire mensuel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