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8060" w14:textId="24E58155" w:rsidR="000E59EA" w:rsidRPr="00690F1A" w:rsidRDefault="00B83310" w:rsidP="00BD37B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2</w:t>
      </w:r>
      <w:r w:rsidR="00D57A02">
        <w:rPr>
          <w:rFonts w:asciiTheme="minorHAnsi" w:hAnsiTheme="minorHAnsi"/>
          <w:i/>
        </w:rPr>
        <w:t>3</w:t>
      </w:r>
      <w:r w:rsidR="000E59EA" w:rsidRPr="00690F1A">
        <w:rPr>
          <w:rFonts w:asciiTheme="minorHAnsi" w:hAnsiTheme="minorHAnsi"/>
          <w:i/>
        </w:rPr>
        <w:t>-03-2020</w:t>
      </w:r>
    </w:p>
    <w:p w14:paraId="6C0DB96A" w14:textId="77777777" w:rsidR="00CC4AEA" w:rsidRPr="002B0297" w:rsidRDefault="000E59EA" w:rsidP="00BD37B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b/>
          <w:sz w:val="32"/>
        </w:rPr>
      </w:pPr>
      <w:r w:rsidRPr="002B0297">
        <w:rPr>
          <w:rFonts w:asciiTheme="minorHAnsi" w:hAnsiTheme="minorHAnsi"/>
          <w:b/>
          <w:sz w:val="32"/>
        </w:rPr>
        <w:t>Readme file for the LUCAS 2015 Topsoil datasets</w:t>
      </w:r>
    </w:p>
    <w:p w14:paraId="658F0FD7" w14:textId="139F7033" w:rsidR="00CC4AEA" w:rsidRPr="002B0297" w:rsidRDefault="00B83310" w:rsidP="00BD37B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>
        <w:rPr>
          <w:rFonts w:asciiTheme="minorHAnsi" w:hAnsiTheme="minorHAnsi"/>
        </w:rPr>
        <w:t>This package</w:t>
      </w:r>
      <w:r w:rsidR="00CC4AEA" w:rsidRPr="002B0297">
        <w:rPr>
          <w:rFonts w:asciiTheme="minorHAnsi" w:hAnsiTheme="minorHAnsi"/>
        </w:rPr>
        <w:t xml:space="preserve"> contains the LUCAS Topsoil data of the 2015 </w:t>
      </w:r>
      <w:r>
        <w:rPr>
          <w:rFonts w:asciiTheme="minorHAnsi" w:hAnsiTheme="minorHAnsi"/>
        </w:rPr>
        <w:t xml:space="preserve">LUCAS soil </w:t>
      </w:r>
      <w:r w:rsidR="00CC4AEA" w:rsidRPr="002B0297">
        <w:rPr>
          <w:rFonts w:asciiTheme="minorHAnsi" w:hAnsiTheme="minorHAnsi"/>
        </w:rPr>
        <w:t xml:space="preserve">survey. </w:t>
      </w:r>
      <w:r w:rsidR="000E59EA" w:rsidRPr="002B0297">
        <w:rPr>
          <w:rFonts w:asciiTheme="minorHAnsi" w:hAnsiTheme="minorHAnsi"/>
        </w:rPr>
        <w:t>It contains</w:t>
      </w:r>
      <w:r w:rsidR="00371FBC" w:rsidRPr="002B0297">
        <w:rPr>
          <w:rFonts w:asciiTheme="minorHAnsi" w:hAnsiTheme="minorHAnsi"/>
        </w:rPr>
        <w:t xml:space="preserve"> a</w:t>
      </w:r>
      <w:r w:rsidR="00D57A02">
        <w:rPr>
          <w:rFonts w:asciiTheme="minorHAnsi" w:hAnsiTheme="minorHAnsi"/>
        </w:rPr>
        <w:t xml:space="preserve"> CSV and</w:t>
      </w:r>
      <w:r w:rsidR="002B7EA8" w:rsidRPr="002B0297">
        <w:rPr>
          <w:rFonts w:asciiTheme="minorHAnsi" w:hAnsiTheme="minorHAnsi"/>
        </w:rPr>
        <w:t xml:space="preserve"> </w:t>
      </w:r>
      <w:r w:rsidR="00690F1A">
        <w:rPr>
          <w:rFonts w:asciiTheme="minorHAnsi" w:hAnsiTheme="minorHAnsi"/>
        </w:rPr>
        <w:t>E</w:t>
      </w:r>
      <w:r w:rsidR="008229FA" w:rsidRPr="002B0297">
        <w:rPr>
          <w:rFonts w:asciiTheme="minorHAnsi" w:hAnsiTheme="minorHAnsi"/>
        </w:rPr>
        <w:t xml:space="preserve">xcel </w:t>
      </w:r>
      <w:r w:rsidR="002C0799" w:rsidRPr="002B0297">
        <w:rPr>
          <w:rFonts w:asciiTheme="minorHAnsi" w:hAnsiTheme="minorHAnsi"/>
        </w:rPr>
        <w:t>file</w:t>
      </w:r>
      <w:r w:rsidR="00CC4AEA" w:rsidRPr="002B0297">
        <w:rPr>
          <w:rFonts w:asciiTheme="minorHAnsi" w:hAnsiTheme="minorHAnsi"/>
        </w:rPr>
        <w:t xml:space="preserve"> </w:t>
      </w:r>
      <w:r w:rsidR="000E59EA" w:rsidRPr="002B0297">
        <w:rPr>
          <w:rFonts w:asciiTheme="minorHAnsi" w:hAnsiTheme="minorHAnsi"/>
        </w:rPr>
        <w:t>with soil data</w:t>
      </w:r>
      <w:r>
        <w:rPr>
          <w:rFonts w:asciiTheme="minorHAnsi" w:hAnsiTheme="minorHAnsi"/>
        </w:rPr>
        <w:t>,</w:t>
      </w:r>
      <w:r w:rsidR="000E59EA" w:rsidRPr="002B0297">
        <w:rPr>
          <w:rFonts w:asciiTheme="minorHAnsi" w:hAnsiTheme="minorHAnsi"/>
        </w:rPr>
        <w:t xml:space="preserve"> </w:t>
      </w:r>
      <w:r w:rsidR="008229FA" w:rsidRPr="002B0297">
        <w:rPr>
          <w:rFonts w:asciiTheme="minorHAnsi" w:hAnsiTheme="minorHAnsi"/>
        </w:rPr>
        <w:t>and a</w:t>
      </w:r>
      <w:r w:rsidR="00565B2F">
        <w:rPr>
          <w:rFonts w:asciiTheme="minorHAnsi" w:hAnsiTheme="minorHAnsi"/>
        </w:rPr>
        <w:t>n</w:t>
      </w:r>
      <w:r w:rsidR="008229FA" w:rsidRPr="002B0297">
        <w:rPr>
          <w:rFonts w:asciiTheme="minorHAnsi" w:hAnsiTheme="minorHAnsi"/>
        </w:rPr>
        <w:t xml:space="preserve"> </w:t>
      </w:r>
      <w:r w:rsidR="00565B2F">
        <w:rPr>
          <w:rFonts w:asciiTheme="minorHAnsi" w:hAnsiTheme="minorHAnsi"/>
        </w:rPr>
        <w:t>ESRI</w:t>
      </w:r>
      <w:r w:rsidR="00565B2F" w:rsidRPr="002B0297">
        <w:rPr>
          <w:rFonts w:asciiTheme="minorHAnsi" w:hAnsiTheme="minorHAnsi"/>
        </w:rPr>
        <w:t xml:space="preserve"> </w:t>
      </w:r>
      <w:r w:rsidR="008229FA" w:rsidRPr="002B0297">
        <w:rPr>
          <w:rFonts w:asciiTheme="minorHAnsi" w:hAnsiTheme="minorHAnsi"/>
        </w:rPr>
        <w:t>shapefile</w:t>
      </w:r>
      <w:r w:rsidR="00690F1A">
        <w:rPr>
          <w:rFonts w:asciiTheme="minorHAnsi" w:hAnsiTheme="minorHAnsi"/>
        </w:rPr>
        <w:t xml:space="preserve"> that shows the </w:t>
      </w:r>
      <w:r w:rsidR="00565B2F">
        <w:rPr>
          <w:rFonts w:asciiTheme="minorHAnsi" w:hAnsiTheme="minorHAnsi"/>
        </w:rPr>
        <w:t>LUCAS Master Grid</w:t>
      </w:r>
      <w:r>
        <w:rPr>
          <w:rFonts w:asciiTheme="minorHAnsi" w:hAnsiTheme="minorHAnsi"/>
        </w:rPr>
        <w:t xml:space="preserve"> sampling points</w:t>
      </w:r>
      <w:r w:rsidR="00690F1A">
        <w:rPr>
          <w:rFonts w:asciiTheme="minorHAnsi" w:hAnsiTheme="minorHAnsi"/>
        </w:rPr>
        <w:t xml:space="preserve"> and an associated attribute table that holds the soil data.</w:t>
      </w:r>
    </w:p>
    <w:p w14:paraId="3C5FA085" w14:textId="77777777" w:rsidR="006767EA" w:rsidRDefault="00304171" w:rsidP="00BD37B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 w:rsidRPr="006767EA">
        <w:rPr>
          <w:rFonts w:asciiTheme="minorHAnsi" w:hAnsiTheme="minorHAnsi"/>
          <w:b/>
          <w:i/>
          <w:color w:val="0070C0"/>
        </w:rPr>
        <w:t xml:space="preserve"> LUCAS_Topsoil_2015_20200323.xlsx</w:t>
      </w:r>
      <w:r w:rsidRPr="002B0297">
        <w:rPr>
          <w:rFonts w:asciiTheme="minorHAnsi" w:hAnsiTheme="minorHAnsi"/>
        </w:rPr>
        <w:t xml:space="preserve">: this </w:t>
      </w:r>
      <w:r w:rsidR="00CC4AEA" w:rsidRPr="002B0297">
        <w:rPr>
          <w:rFonts w:asciiTheme="minorHAnsi" w:hAnsiTheme="minorHAnsi"/>
        </w:rPr>
        <w:t xml:space="preserve">Excel file </w:t>
      </w:r>
      <w:r w:rsidR="00315111" w:rsidRPr="002B0297">
        <w:rPr>
          <w:rFonts w:asciiTheme="minorHAnsi" w:hAnsiTheme="minorHAnsi"/>
        </w:rPr>
        <w:t>includes</w:t>
      </w:r>
      <w:r w:rsidR="00D76B16" w:rsidRPr="002B0297">
        <w:rPr>
          <w:rFonts w:asciiTheme="minorHAnsi" w:hAnsiTheme="minorHAnsi"/>
        </w:rPr>
        <w:t xml:space="preserve"> </w:t>
      </w:r>
      <w:r w:rsidR="004B48F0" w:rsidRPr="002B0297">
        <w:rPr>
          <w:rFonts w:asciiTheme="minorHAnsi" w:hAnsiTheme="minorHAnsi"/>
        </w:rPr>
        <w:t xml:space="preserve">the </w:t>
      </w:r>
      <w:r w:rsidR="00315111" w:rsidRPr="002B0297">
        <w:rPr>
          <w:rFonts w:asciiTheme="minorHAnsi" w:hAnsiTheme="minorHAnsi"/>
        </w:rPr>
        <w:t xml:space="preserve">analytical data of samples that </w:t>
      </w:r>
      <w:r w:rsidR="002B7EA8" w:rsidRPr="002B0297">
        <w:rPr>
          <w:rFonts w:asciiTheme="minorHAnsi" w:hAnsiTheme="minorHAnsi"/>
        </w:rPr>
        <w:t xml:space="preserve">passed the </w:t>
      </w:r>
      <w:r w:rsidR="00260775" w:rsidRPr="002B0297">
        <w:rPr>
          <w:rFonts w:asciiTheme="minorHAnsi" w:hAnsiTheme="minorHAnsi"/>
        </w:rPr>
        <w:t>data evaluation</w:t>
      </w:r>
      <w:r w:rsidR="00315111" w:rsidRPr="002B0297">
        <w:rPr>
          <w:rFonts w:asciiTheme="minorHAnsi" w:hAnsiTheme="minorHAnsi"/>
        </w:rPr>
        <w:t xml:space="preserve">. The file contains the </w:t>
      </w:r>
      <w:r w:rsidR="00D76B16" w:rsidRPr="002B0297">
        <w:rPr>
          <w:rFonts w:asciiTheme="minorHAnsi" w:hAnsiTheme="minorHAnsi"/>
        </w:rPr>
        <w:t>identif</w:t>
      </w:r>
      <w:r w:rsidR="00D03558" w:rsidRPr="002B0297">
        <w:rPr>
          <w:rFonts w:asciiTheme="minorHAnsi" w:hAnsiTheme="minorHAnsi"/>
        </w:rPr>
        <w:t>ication code</w:t>
      </w:r>
      <w:r w:rsidR="004B48F0" w:rsidRPr="002B0297">
        <w:rPr>
          <w:rFonts w:asciiTheme="minorHAnsi" w:hAnsiTheme="minorHAnsi"/>
        </w:rPr>
        <w:t xml:space="preserve"> “</w:t>
      </w:r>
      <w:r w:rsidR="00D03558" w:rsidRPr="002B0297">
        <w:rPr>
          <w:rFonts w:asciiTheme="minorHAnsi" w:hAnsiTheme="minorHAnsi"/>
        </w:rPr>
        <w:t>Point_ID</w:t>
      </w:r>
      <w:r w:rsidR="004B48F0" w:rsidRPr="002B0297">
        <w:rPr>
          <w:rFonts w:asciiTheme="minorHAnsi" w:hAnsiTheme="minorHAnsi"/>
        </w:rPr>
        <w:t>”</w:t>
      </w:r>
      <w:r w:rsidR="00D03558" w:rsidRPr="002B0297">
        <w:rPr>
          <w:rFonts w:asciiTheme="minorHAnsi" w:hAnsiTheme="minorHAnsi"/>
        </w:rPr>
        <w:t xml:space="preserve"> </w:t>
      </w:r>
      <w:r w:rsidR="00230400">
        <w:rPr>
          <w:rFonts w:asciiTheme="minorHAnsi" w:hAnsiTheme="minorHAnsi"/>
        </w:rPr>
        <w:t xml:space="preserve">of the samples </w:t>
      </w:r>
      <w:r w:rsidR="00010062" w:rsidRPr="002B0297">
        <w:rPr>
          <w:rFonts w:asciiTheme="minorHAnsi" w:hAnsiTheme="minorHAnsi"/>
        </w:rPr>
        <w:t>and data of physical and chemical properties for each sample.</w:t>
      </w:r>
      <w:r w:rsidR="00260775" w:rsidRPr="002B0297">
        <w:rPr>
          <w:rFonts w:asciiTheme="minorHAnsi" w:hAnsiTheme="minorHAnsi"/>
        </w:rPr>
        <w:t xml:space="preserve"> </w:t>
      </w:r>
    </w:p>
    <w:p w14:paraId="3B9DD9FF" w14:textId="77777777" w:rsidR="006767EA" w:rsidRDefault="00260775" w:rsidP="00BD37B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 w:rsidRPr="002B0297">
        <w:rPr>
          <w:rFonts w:asciiTheme="minorHAnsi" w:hAnsiTheme="minorHAnsi"/>
        </w:rPr>
        <w:t>A detailed descrip</w:t>
      </w:r>
      <w:r w:rsidR="00837545" w:rsidRPr="002B0297">
        <w:rPr>
          <w:rFonts w:asciiTheme="minorHAnsi" w:hAnsiTheme="minorHAnsi"/>
        </w:rPr>
        <w:t>tion of the evaluation of the data in this file is</w:t>
      </w:r>
      <w:r w:rsidR="00075AA1">
        <w:rPr>
          <w:rFonts w:asciiTheme="minorHAnsi" w:hAnsiTheme="minorHAnsi"/>
        </w:rPr>
        <w:t xml:space="preserve"> documented in the report</w:t>
      </w:r>
      <w:r w:rsidR="006767EA">
        <w:rPr>
          <w:rFonts w:asciiTheme="minorHAnsi" w:hAnsiTheme="minorHAnsi"/>
        </w:rPr>
        <w:t>:</w:t>
      </w:r>
    </w:p>
    <w:p w14:paraId="5545125D" w14:textId="77777777" w:rsidR="00D57A02" w:rsidRDefault="00D57A02" w:rsidP="00D57A02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</w:p>
    <w:p w14:paraId="14759A52" w14:textId="12FED52E" w:rsidR="00D57A02" w:rsidRDefault="00D57A02" w:rsidP="00D57A02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Jones, A, Fernandez-Ugalde, O., Scarpa, S. LUCAS 2015 Topsoil Survey. Presentation of dataset and results, EUR 30332 EN, Publications Office of the European Union: Luxembourg. 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2020, ISBN 978-92-76-21080-1, doi:10.2760/616084, JRC121325</w:t>
      </w:r>
    </w:p>
    <w:p w14:paraId="4D112EF2" w14:textId="77777777" w:rsidR="00230400" w:rsidRPr="00230400" w:rsidRDefault="00230400" w:rsidP="00BD37B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 w:rsidRPr="00230400">
        <w:rPr>
          <w:rFonts w:asciiTheme="minorHAnsi" w:hAnsiTheme="minorHAnsi"/>
        </w:rPr>
        <w:t>Note that there are 21,859 points, of w</w:t>
      </w:r>
      <w:r w:rsidR="0032688D">
        <w:rPr>
          <w:rFonts w:asciiTheme="minorHAnsi" w:hAnsiTheme="minorHAnsi"/>
        </w:rPr>
        <w:t>hich 4,246 are at new locations when compared with</w:t>
      </w:r>
      <w:r w:rsidRPr="00230400">
        <w:rPr>
          <w:rFonts w:asciiTheme="minorHAnsi" w:hAnsiTheme="minorHAnsi"/>
        </w:rPr>
        <w:t xml:space="preserve"> the 2009/2012 campaigns.</w:t>
      </w:r>
    </w:p>
    <w:p w14:paraId="2742CE0F" w14:textId="77777777" w:rsidR="00814010" w:rsidRPr="002B0297" w:rsidRDefault="008928DC" w:rsidP="00BD37B7">
      <w:pPr>
        <w:pStyle w:val="condessed"/>
        <w:spacing w:before="240" w:beforeAutospacing="0" w:after="60" w:afterAutospacing="0" w:line="288" w:lineRule="atLeast"/>
        <w:rPr>
          <w:rFonts w:asciiTheme="minorHAnsi" w:hAnsiTheme="minorHAnsi"/>
        </w:rPr>
      </w:pPr>
      <w:r w:rsidRPr="002B0297">
        <w:rPr>
          <w:rFonts w:asciiTheme="minorHAnsi" w:hAnsiTheme="minorHAnsi"/>
        </w:rPr>
        <w:t xml:space="preserve">Description of the fields in the </w:t>
      </w:r>
      <w:r w:rsidR="00304171" w:rsidRPr="002B0297">
        <w:rPr>
          <w:rFonts w:asciiTheme="minorHAnsi" w:hAnsiTheme="minorHAnsi"/>
          <w:color w:val="0070C0"/>
        </w:rPr>
        <w:t>LUCAS_Topsoil_2015_20200323.xlsx</w:t>
      </w:r>
      <w:r w:rsidR="00304171" w:rsidRPr="002B0297">
        <w:rPr>
          <w:rFonts w:asciiTheme="minorHAnsi" w:hAnsiTheme="minorHAnsi"/>
        </w:rPr>
        <w:t xml:space="preserve"> </w:t>
      </w:r>
      <w:r w:rsidRPr="002B0297">
        <w:rPr>
          <w:rFonts w:asciiTheme="minorHAnsi" w:hAnsiTheme="minorHAnsi"/>
        </w:rPr>
        <w:t>excel file</w:t>
      </w:r>
      <w:r w:rsidR="00814010">
        <w:rPr>
          <w:rFonts w:asciiTheme="minorHAnsi" w:hAnsiTheme="minorHAnsi"/>
        </w:rPr>
        <w:t>:</w:t>
      </w: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1701"/>
        <w:gridCol w:w="4815"/>
        <w:gridCol w:w="1139"/>
        <w:gridCol w:w="1559"/>
      </w:tblGrid>
      <w:tr w:rsidR="00DF1629" w:rsidRPr="002B0297" w14:paraId="12827A5C" w14:textId="77777777" w:rsidTr="00C91CD8">
        <w:trPr>
          <w:trHeight w:val="554"/>
        </w:trPr>
        <w:tc>
          <w:tcPr>
            <w:tcW w:w="1701" w:type="dxa"/>
            <w:vAlign w:val="center"/>
          </w:tcPr>
          <w:p w14:paraId="48E7EE9D" w14:textId="77777777" w:rsidR="00D03558" w:rsidRPr="002B0297" w:rsidRDefault="00DF1629" w:rsidP="00BD37B7">
            <w:pPr>
              <w:rPr>
                <w:rFonts w:cs="Times New Roman"/>
                <w:b/>
                <w:sz w:val="20"/>
                <w:szCs w:val="20"/>
              </w:rPr>
            </w:pPr>
            <w:r w:rsidRPr="002B0297">
              <w:rPr>
                <w:rFonts w:cs="Times New Roman"/>
                <w:b/>
                <w:sz w:val="20"/>
                <w:szCs w:val="20"/>
              </w:rPr>
              <w:t>Field</w:t>
            </w:r>
          </w:p>
        </w:tc>
        <w:tc>
          <w:tcPr>
            <w:tcW w:w="4815" w:type="dxa"/>
            <w:vAlign w:val="center"/>
          </w:tcPr>
          <w:p w14:paraId="04B9DCB9" w14:textId="77777777" w:rsidR="00D03558" w:rsidRPr="002B0297" w:rsidRDefault="00D03558" w:rsidP="00BD37B7">
            <w:pPr>
              <w:rPr>
                <w:rFonts w:cs="Times New Roman"/>
                <w:b/>
                <w:sz w:val="20"/>
                <w:szCs w:val="20"/>
              </w:rPr>
            </w:pPr>
            <w:r w:rsidRPr="002B0297">
              <w:rPr>
                <w:rFonts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139" w:type="dxa"/>
            <w:vAlign w:val="center"/>
          </w:tcPr>
          <w:p w14:paraId="695556F5" w14:textId="77777777" w:rsidR="00A93BC1" w:rsidRPr="002B0297" w:rsidRDefault="00D03558" w:rsidP="00BD37B7">
            <w:pPr>
              <w:rPr>
                <w:rFonts w:cs="Times New Roman"/>
                <w:b/>
                <w:sz w:val="20"/>
                <w:szCs w:val="20"/>
              </w:rPr>
            </w:pPr>
            <w:r w:rsidRPr="002B0297">
              <w:rPr>
                <w:rFonts w:cs="Times New Roman"/>
                <w:b/>
                <w:sz w:val="20"/>
                <w:szCs w:val="20"/>
              </w:rPr>
              <w:t>Units/</w:t>
            </w:r>
          </w:p>
          <w:p w14:paraId="09F5E639" w14:textId="77777777" w:rsidR="00D03558" w:rsidRPr="002B0297" w:rsidRDefault="00D03558" w:rsidP="00BD37B7">
            <w:pPr>
              <w:rPr>
                <w:rFonts w:cs="Times New Roman"/>
                <w:b/>
                <w:sz w:val="20"/>
                <w:szCs w:val="20"/>
              </w:rPr>
            </w:pPr>
            <w:r w:rsidRPr="002B0297">
              <w:rPr>
                <w:rFonts w:cs="Times New Roman"/>
                <w:b/>
                <w:sz w:val="20"/>
                <w:szCs w:val="20"/>
              </w:rPr>
              <w:t>Values</w:t>
            </w:r>
          </w:p>
        </w:tc>
        <w:tc>
          <w:tcPr>
            <w:tcW w:w="1559" w:type="dxa"/>
            <w:vAlign w:val="center"/>
          </w:tcPr>
          <w:p w14:paraId="398DDDCB" w14:textId="77777777" w:rsidR="00D03558" w:rsidRPr="002B0297" w:rsidRDefault="00D03558" w:rsidP="00BD37B7">
            <w:pPr>
              <w:rPr>
                <w:rFonts w:cs="Times New Roman"/>
                <w:b/>
                <w:sz w:val="20"/>
                <w:szCs w:val="20"/>
              </w:rPr>
            </w:pPr>
            <w:r w:rsidRPr="002B0297">
              <w:rPr>
                <w:rFonts w:cs="Times New Roman"/>
                <w:b/>
                <w:sz w:val="20"/>
                <w:szCs w:val="20"/>
              </w:rPr>
              <w:t>Limit of detection</w:t>
            </w:r>
            <w:r w:rsidR="00DF1629" w:rsidRPr="002B0297">
              <w:rPr>
                <w:rFonts w:cs="Times New Roman"/>
                <w:b/>
                <w:sz w:val="20"/>
                <w:szCs w:val="20"/>
              </w:rPr>
              <w:t>/ Measurement range</w:t>
            </w:r>
          </w:p>
        </w:tc>
      </w:tr>
      <w:tr w:rsidR="00DF1629" w:rsidRPr="002B0297" w14:paraId="05098D23" w14:textId="77777777" w:rsidTr="00C91CD8">
        <w:trPr>
          <w:trHeight w:val="276"/>
        </w:trPr>
        <w:tc>
          <w:tcPr>
            <w:tcW w:w="1701" w:type="dxa"/>
          </w:tcPr>
          <w:p w14:paraId="329CC515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Point_ID</w:t>
            </w:r>
          </w:p>
        </w:tc>
        <w:tc>
          <w:tcPr>
            <w:tcW w:w="4815" w:type="dxa"/>
          </w:tcPr>
          <w:p w14:paraId="4341902B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Unique identifier of the LUCAS survey point</w:t>
            </w:r>
          </w:p>
        </w:tc>
        <w:tc>
          <w:tcPr>
            <w:tcW w:w="1139" w:type="dxa"/>
          </w:tcPr>
          <w:p w14:paraId="45449DC8" w14:textId="77777777" w:rsidR="00D03558" w:rsidRPr="002B0297" w:rsidRDefault="004D191A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8 digits number</w:t>
            </w:r>
          </w:p>
        </w:tc>
        <w:tc>
          <w:tcPr>
            <w:tcW w:w="1559" w:type="dxa"/>
          </w:tcPr>
          <w:p w14:paraId="7465EB87" w14:textId="77777777" w:rsidR="00D03558" w:rsidRPr="002B0297" w:rsidRDefault="005A4F2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─</w:t>
            </w:r>
          </w:p>
        </w:tc>
      </w:tr>
      <w:tr w:rsidR="001464C2" w:rsidRPr="002B0297" w14:paraId="6C7048B3" w14:textId="77777777" w:rsidTr="00C91CD8">
        <w:trPr>
          <w:trHeight w:val="264"/>
        </w:trPr>
        <w:tc>
          <w:tcPr>
            <w:tcW w:w="1701" w:type="dxa"/>
          </w:tcPr>
          <w:p w14:paraId="5A782B30" w14:textId="77777777" w:rsidR="001464C2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Revisited_point</w:t>
            </w:r>
          </w:p>
        </w:tc>
        <w:tc>
          <w:tcPr>
            <w:tcW w:w="4815" w:type="dxa"/>
          </w:tcPr>
          <w:p w14:paraId="4F1DC879" w14:textId="77777777" w:rsidR="001464C2" w:rsidRPr="002B0297" w:rsidRDefault="0032688D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Is the point</w:t>
            </w:r>
            <w:r w:rsidR="001464C2" w:rsidRPr="002B0297">
              <w:rPr>
                <w:rFonts w:cs="Times New Roman"/>
                <w:sz w:val="20"/>
                <w:szCs w:val="20"/>
              </w:rPr>
              <w:t xml:space="preserve"> visited in </w:t>
            </w:r>
            <w:r w:rsidR="00304171" w:rsidRPr="002B0297">
              <w:rPr>
                <w:rFonts w:cs="Times New Roman"/>
                <w:sz w:val="20"/>
                <w:szCs w:val="20"/>
              </w:rPr>
              <w:t xml:space="preserve">both </w:t>
            </w:r>
            <w:r w:rsidR="001464C2" w:rsidRPr="002B0297">
              <w:rPr>
                <w:rFonts w:cs="Times New Roman"/>
                <w:sz w:val="20"/>
                <w:szCs w:val="20"/>
              </w:rPr>
              <w:t>2009/2012 and 2015 surveys</w:t>
            </w:r>
          </w:p>
        </w:tc>
        <w:tc>
          <w:tcPr>
            <w:tcW w:w="1139" w:type="dxa"/>
          </w:tcPr>
          <w:p w14:paraId="44A0A359" w14:textId="77777777" w:rsidR="001464C2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Yes / No</w:t>
            </w:r>
          </w:p>
        </w:tc>
        <w:tc>
          <w:tcPr>
            <w:tcW w:w="1559" w:type="dxa"/>
          </w:tcPr>
          <w:p w14:paraId="61A75B8E" w14:textId="77777777" w:rsidR="001464C2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─</w:t>
            </w:r>
          </w:p>
        </w:tc>
      </w:tr>
      <w:tr w:rsidR="00DF1629" w:rsidRPr="002B0297" w14:paraId="63E42401" w14:textId="77777777" w:rsidTr="00C91CD8">
        <w:trPr>
          <w:trHeight w:val="276"/>
        </w:trPr>
        <w:tc>
          <w:tcPr>
            <w:tcW w:w="1701" w:type="dxa"/>
          </w:tcPr>
          <w:p w14:paraId="2AA1ED5F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Coarse</w:t>
            </w:r>
          </w:p>
        </w:tc>
        <w:tc>
          <w:tcPr>
            <w:tcW w:w="4815" w:type="dxa"/>
          </w:tcPr>
          <w:p w14:paraId="211C102F" w14:textId="77777777" w:rsidR="00D03558" w:rsidRPr="002B0297" w:rsidRDefault="00AE22EF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Coarse elements</w:t>
            </w:r>
          </w:p>
        </w:tc>
        <w:tc>
          <w:tcPr>
            <w:tcW w:w="1139" w:type="dxa"/>
          </w:tcPr>
          <w:p w14:paraId="4CA5972B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07A51A07" w14:textId="77777777" w:rsidR="00D03558" w:rsidRPr="002B0297" w:rsidRDefault="00DF162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&gt; 2000 µm</w:t>
            </w:r>
          </w:p>
        </w:tc>
      </w:tr>
      <w:tr w:rsidR="00DF1629" w:rsidRPr="002B0297" w14:paraId="4E0D1021" w14:textId="77777777" w:rsidTr="00C91CD8">
        <w:trPr>
          <w:trHeight w:val="276"/>
        </w:trPr>
        <w:tc>
          <w:tcPr>
            <w:tcW w:w="1701" w:type="dxa"/>
          </w:tcPr>
          <w:p w14:paraId="424633AC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Clay</w:t>
            </w:r>
          </w:p>
        </w:tc>
        <w:tc>
          <w:tcPr>
            <w:tcW w:w="4815" w:type="dxa"/>
          </w:tcPr>
          <w:p w14:paraId="1A392A40" w14:textId="77777777" w:rsidR="00D03558" w:rsidRPr="002B0297" w:rsidRDefault="00AE22EF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Clay content</w:t>
            </w:r>
          </w:p>
        </w:tc>
        <w:tc>
          <w:tcPr>
            <w:tcW w:w="1139" w:type="dxa"/>
          </w:tcPr>
          <w:p w14:paraId="1E1687C8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6163D5C7" w14:textId="77777777" w:rsidR="00D03558" w:rsidRPr="002B0297" w:rsidRDefault="00DF162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 xml:space="preserve">0.02 </w:t>
            </w:r>
            <w:r w:rsidR="00A85CD3" w:rsidRPr="002B0297">
              <w:rPr>
                <w:rFonts w:cs="Times New Roman"/>
                <w:sz w:val="20"/>
                <w:szCs w:val="20"/>
              </w:rPr>
              <w:t>– 2000 µm</w:t>
            </w:r>
          </w:p>
        </w:tc>
      </w:tr>
      <w:tr w:rsidR="00DF1629" w:rsidRPr="002B0297" w14:paraId="142C89D1" w14:textId="77777777" w:rsidTr="00C91CD8">
        <w:trPr>
          <w:trHeight w:val="276"/>
        </w:trPr>
        <w:tc>
          <w:tcPr>
            <w:tcW w:w="1701" w:type="dxa"/>
          </w:tcPr>
          <w:p w14:paraId="66309DD9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Silt</w:t>
            </w:r>
          </w:p>
        </w:tc>
        <w:tc>
          <w:tcPr>
            <w:tcW w:w="4815" w:type="dxa"/>
          </w:tcPr>
          <w:p w14:paraId="72248231" w14:textId="77777777" w:rsidR="00D03558" w:rsidRPr="002B0297" w:rsidRDefault="00AE22EF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Silt content</w:t>
            </w:r>
          </w:p>
        </w:tc>
        <w:tc>
          <w:tcPr>
            <w:tcW w:w="1139" w:type="dxa"/>
          </w:tcPr>
          <w:p w14:paraId="7DA3955F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07A65C38" w14:textId="77777777" w:rsidR="00D03558" w:rsidRPr="002B0297" w:rsidRDefault="00A85CD3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0.02 – 2000 µm</w:t>
            </w:r>
          </w:p>
        </w:tc>
      </w:tr>
      <w:tr w:rsidR="00A85CD3" w:rsidRPr="002B0297" w14:paraId="46111EEF" w14:textId="77777777" w:rsidTr="00C91CD8">
        <w:trPr>
          <w:trHeight w:val="276"/>
        </w:trPr>
        <w:tc>
          <w:tcPr>
            <w:tcW w:w="1701" w:type="dxa"/>
          </w:tcPr>
          <w:p w14:paraId="0BAFD69E" w14:textId="77777777" w:rsidR="00A85CD3" w:rsidRPr="002B0297" w:rsidRDefault="00A85CD3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Sand</w:t>
            </w:r>
          </w:p>
        </w:tc>
        <w:tc>
          <w:tcPr>
            <w:tcW w:w="4815" w:type="dxa"/>
          </w:tcPr>
          <w:p w14:paraId="73C92E02" w14:textId="77777777" w:rsidR="00A85CD3" w:rsidRPr="002B0297" w:rsidRDefault="00A85CD3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Sand content</w:t>
            </w:r>
          </w:p>
        </w:tc>
        <w:tc>
          <w:tcPr>
            <w:tcW w:w="1139" w:type="dxa"/>
          </w:tcPr>
          <w:p w14:paraId="07F6EEED" w14:textId="77777777" w:rsidR="00A85CD3" w:rsidRPr="002B0297" w:rsidRDefault="00A85CD3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2738B8AA" w14:textId="77777777" w:rsidR="00A85CD3" w:rsidRPr="002B0297" w:rsidRDefault="00A85CD3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0.02 – 2000 µm</w:t>
            </w:r>
          </w:p>
        </w:tc>
      </w:tr>
      <w:tr w:rsidR="00DF1629" w:rsidRPr="002B0297" w14:paraId="06C18277" w14:textId="77777777" w:rsidTr="00C91CD8">
        <w:trPr>
          <w:trHeight w:val="276"/>
        </w:trPr>
        <w:tc>
          <w:tcPr>
            <w:tcW w:w="1701" w:type="dxa"/>
          </w:tcPr>
          <w:p w14:paraId="19DC941D" w14:textId="77777777" w:rsidR="00D03558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pH(</w:t>
            </w:r>
            <w:r w:rsidR="00D03558" w:rsidRPr="002B0297">
              <w:rPr>
                <w:rFonts w:cs="Times New Roman"/>
                <w:sz w:val="20"/>
                <w:szCs w:val="20"/>
              </w:rPr>
              <w:t>CaCl</w:t>
            </w:r>
            <w:r w:rsidR="00D03558" w:rsidRPr="002B0297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2B0297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4815" w:type="dxa"/>
          </w:tcPr>
          <w:p w14:paraId="3E2AD57B" w14:textId="77777777" w:rsidR="00D03558" w:rsidRPr="002B0297" w:rsidRDefault="00AE22EF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pH measured in a CaCl</w:t>
            </w:r>
            <w:r w:rsidRPr="002B0297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2B0297">
              <w:rPr>
                <w:rFonts w:cs="Times New Roman"/>
                <w:sz w:val="20"/>
                <w:szCs w:val="20"/>
              </w:rPr>
              <w:t xml:space="preserve"> solution</w:t>
            </w:r>
          </w:p>
        </w:tc>
        <w:tc>
          <w:tcPr>
            <w:tcW w:w="1139" w:type="dxa"/>
          </w:tcPr>
          <w:p w14:paraId="0C4CAB53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─</w:t>
            </w:r>
          </w:p>
        </w:tc>
        <w:tc>
          <w:tcPr>
            <w:tcW w:w="1559" w:type="dxa"/>
          </w:tcPr>
          <w:p w14:paraId="7455483F" w14:textId="77777777" w:rsidR="00D03558" w:rsidRPr="002B0297" w:rsidRDefault="00F7479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2 – 10</w:t>
            </w:r>
          </w:p>
        </w:tc>
      </w:tr>
      <w:tr w:rsidR="00DF1629" w:rsidRPr="002B0297" w14:paraId="4DA37CEC" w14:textId="77777777" w:rsidTr="00C91CD8">
        <w:trPr>
          <w:trHeight w:val="264"/>
        </w:trPr>
        <w:tc>
          <w:tcPr>
            <w:tcW w:w="1701" w:type="dxa"/>
          </w:tcPr>
          <w:p w14:paraId="48B6C029" w14:textId="77777777" w:rsidR="00D03558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pH(</w:t>
            </w:r>
            <w:r w:rsidR="00D03558" w:rsidRPr="002B0297">
              <w:rPr>
                <w:rFonts w:cs="Times New Roman"/>
                <w:sz w:val="20"/>
                <w:szCs w:val="20"/>
              </w:rPr>
              <w:t>H</w:t>
            </w:r>
            <w:r w:rsidR="00D03558" w:rsidRPr="002B0297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="00D03558" w:rsidRPr="002B0297">
              <w:rPr>
                <w:rFonts w:cs="Times New Roman"/>
                <w:sz w:val="20"/>
                <w:szCs w:val="20"/>
              </w:rPr>
              <w:t>O</w:t>
            </w:r>
            <w:r w:rsidRPr="002B0297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4815" w:type="dxa"/>
          </w:tcPr>
          <w:p w14:paraId="25F6AFD3" w14:textId="77777777" w:rsidR="00D03558" w:rsidRPr="002B0297" w:rsidRDefault="00954D0B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 xml:space="preserve">pH measured in a </w:t>
            </w:r>
            <w:r w:rsidR="008E40C9" w:rsidRPr="002B0297">
              <w:rPr>
                <w:rFonts w:cs="Times New Roman"/>
                <w:sz w:val="20"/>
                <w:szCs w:val="20"/>
              </w:rPr>
              <w:t xml:space="preserve">suspension </w:t>
            </w:r>
            <w:r w:rsidRPr="002B0297">
              <w:rPr>
                <w:rFonts w:cs="Times New Roman"/>
                <w:sz w:val="20"/>
                <w:szCs w:val="20"/>
              </w:rPr>
              <w:t>of soil in water</w:t>
            </w:r>
          </w:p>
        </w:tc>
        <w:tc>
          <w:tcPr>
            <w:tcW w:w="1139" w:type="dxa"/>
          </w:tcPr>
          <w:p w14:paraId="03C3FDB5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─</w:t>
            </w:r>
          </w:p>
        </w:tc>
        <w:tc>
          <w:tcPr>
            <w:tcW w:w="1559" w:type="dxa"/>
          </w:tcPr>
          <w:p w14:paraId="10E8CA3F" w14:textId="77777777" w:rsidR="00D03558" w:rsidRPr="002B0297" w:rsidRDefault="00F7479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2 – 10</w:t>
            </w:r>
          </w:p>
        </w:tc>
      </w:tr>
      <w:tr w:rsidR="00DF1629" w:rsidRPr="002B0297" w14:paraId="224CB6E5" w14:textId="77777777" w:rsidTr="00C91CD8">
        <w:trPr>
          <w:trHeight w:val="276"/>
        </w:trPr>
        <w:tc>
          <w:tcPr>
            <w:tcW w:w="1701" w:type="dxa"/>
          </w:tcPr>
          <w:p w14:paraId="13FC3FC1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EC</w:t>
            </w:r>
          </w:p>
        </w:tc>
        <w:tc>
          <w:tcPr>
            <w:tcW w:w="4815" w:type="dxa"/>
          </w:tcPr>
          <w:p w14:paraId="4F2696AB" w14:textId="77777777" w:rsidR="00D03558" w:rsidRPr="002B0297" w:rsidRDefault="008E40C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Electrical conductivity</w:t>
            </w:r>
          </w:p>
        </w:tc>
        <w:tc>
          <w:tcPr>
            <w:tcW w:w="1139" w:type="dxa"/>
          </w:tcPr>
          <w:p w14:paraId="166F09DF" w14:textId="77777777" w:rsidR="00D03558" w:rsidRPr="002B0297" w:rsidRDefault="00F7479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mS/m</w:t>
            </w:r>
          </w:p>
        </w:tc>
        <w:tc>
          <w:tcPr>
            <w:tcW w:w="1559" w:type="dxa"/>
          </w:tcPr>
          <w:p w14:paraId="3CDA6B21" w14:textId="77777777" w:rsidR="00D03558" w:rsidRPr="002B0297" w:rsidRDefault="00595DBE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0.1</w:t>
            </w:r>
          </w:p>
        </w:tc>
      </w:tr>
      <w:tr w:rsidR="00DF1629" w:rsidRPr="002B0297" w14:paraId="40BEB2FD" w14:textId="77777777" w:rsidTr="00C91CD8">
        <w:trPr>
          <w:trHeight w:val="276"/>
        </w:trPr>
        <w:tc>
          <w:tcPr>
            <w:tcW w:w="1701" w:type="dxa"/>
          </w:tcPr>
          <w:p w14:paraId="741123DD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OC</w:t>
            </w:r>
          </w:p>
        </w:tc>
        <w:tc>
          <w:tcPr>
            <w:tcW w:w="4815" w:type="dxa"/>
          </w:tcPr>
          <w:p w14:paraId="5099C9B9" w14:textId="77777777" w:rsidR="00D03558" w:rsidRPr="002B0297" w:rsidRDefault="008E40C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Organic carbon content</w:t>
            </w:r>
          </w:p>
        </w:tc>
        <w:tc>
          <w:tcPr>
            <w:tcW w:w="1139" w:type="dxa"/>
          </w:tcPr>
          <w:p w14:paraId="36DCA289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g/kg</w:t>
            </w:r>
          </w:p>
        </w:tc>
        <w:tc>
          <w:tcPr>
            <w:tcW w:w="1559" w:type="dxa"/>
          </w:tcPr>
          <w:p w14:paraId="495443ED" w14:textId="77777777" w:rsidR="00D03558" w:rsidRPr="002B0297" w:rsidRDefault="00595DBE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DF1629" w:rsidRPr="002B0297" w14:paraId="59D03562" w14:textId="77777777" w:rsidTr="00C91CD8">
        <w:trPr>
          <w:trHeight w:val="276"/>
        </w:trPr>
        <w:tc>
          <w:tcPr>
            <w:tcW w:w="1701" w:type="dxa"/>
          </w:tcPr>
          <w:p w14:paraId="6EE57038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CaCO3</w:t>
            </w:r>
          </w:p>
        </w:tc>
        <w:tc>
          <w:tcPr>
            <w:tcW w:w="4815" w:type="dxa"/>
          </w:tcPr>
          <w:p w14:paraId="730F0C27" w14:textId="77777777" w:rsidR="00D03558" w:rsidRPr="002B0297" w:rsidRDefault="008E40C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Carbonates content</w:t>
            </w:r>
          </w:p>
        </w:tc>
        <w:tc>
          <w:tcPr>
            <w:tcW w:w="1139" w:type="dxa"/>
          </w:tcPr>
          <w:p w14:paraId="23521F18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g/kg</w:t>
            </w:r>
          </w:p>
        </w:tc>
        <w:tc>
          <w:tcPr>
            <w:tcW w:w="1559" w:type="dxa"/>
          </w:tcPr>
          <w:p w14:paraId="207F96FD" w14:textId="77777777" w:rsidR="00D03558" w:rsidRPr="002B0297" w:rsidRDefault="00595DBE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1464C2" w:rsidRPr="002B0297" w14:paraId="3A08B431" w14:textId="77777777" w:rsidTr="00C91CD8">
        <w:trPr>
          <w:trHeight w:val="276"/>
        </w:trPr>
        <w:tc>
          <w:tcPr>
            <w:tcW w:w="1701" w:type="dxa"/>
          </w:tcPr>
          <w:p w14:paraId="239CE9C3" w14:textId="77777777" w:rsidR="001464C2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4815" w:type="dxa"/>
          </w:tcPr>
          <w:p w14:paraId="55C0ACAA" w14:textId="77777777" w:rsidR="001464C2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Phosphorus content</w:t>
            </w:r>
          </w:p>
        </w:tc>
        <w:tc>
          <w:tcPr>
            <w:tcW w:w="1139" w:type="dxa"/>
          </w:tcPr>
          <w:p w14:paraId="5BACD2E4" w14:textId="77777777" w:rsidR="001464C2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mg/kg</w:t>
            </w:r>
          </w:p>
        </w:tc>
        <w:tc>
          <w:tcPr>
            <w:tcW w:w="1559" w:type="dxa"/>
          </w:tcPr>
          <w:p w14:paraId="10236C91" w14:textId="77777777" w:rsidR="001464C2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10</w:t>
            </w:r>
          </w:p>
        </w:tc>
      </w:tr>
      <w:tr w:rsidR="00DF1629" w:rsidRPr="002B0297" w14:paraId="55A58E76" w14:textId="77777777" w:rsidTr="00C91CD8">
        <w:trPr>
          <w:trHeight w:val="276"/>
        </w:trPr>
        <w:tc>
          <w:tcPr>
            <w:tcW w:w="1701" w:type="dxa"/>
          </w:tcPr>
          <w:p w14:paraId="7AF59A82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N</w:t>
            </w:r>
          </w:p>
        </w:tc>
        <w:tc>
          <w:tcPr>
            <w:tcW w:w="4815" w:type="dxa"/>
          </w:tcPr>
          <w:p w14:paraId="3B355DD8" w14:textId="77777777" w:rsidR="00D03558" w:rsidRPr="002B0297" w:rsidRDefault="008E40C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Total nitrogen content</w:t>
            </w:r>
          </w:p>
        </w:tc>
        <w:tc>
          <w:tcPr>
            <w:tcW w:w="1139" w:type="dxa"/>
          </w:tcPr>
          <w:p w14:paraId="095E019C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g/kg</w:t>
            </w:r>
          </w:p>
        </w:tc>
        <w:tc>
          <w:tcPr>
            <w:tcW w:w="1559" w:type="dxa"/>
          </w:tcPr>
          <w:p w14:paraId="767084DA" w14:textId="77777777" w:rsidR="00D03558" w:rsidRPr="002B0297" w:rsidRDefault="00595DBE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0.2</w:t>
            </w:r>
          </w:p>
        </w:tc>
      </w:tr>
      <w:tr w:rsidR="00DF1629" w:rsidRPr="002B0297" w14:paraId="227014D2" w14:textId="77777777" w:rsidTr="00C91CD8">
        <w:trPr>
          <w:trHeight w:val="264"/>
        </w:trPr>
        <w:tc>
          <w:tcPr>
            <w:tcW w:w="1701" w:type="dxa"/>
          </w:tcPr>
          <w:p w14:paraId="4B573B07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K</w:t>
            </w:r>
          </w:p>
        </w:tc>
        <w:tc>
          <w:tcPr>
            <w:tcW w:w="4815" w:type="dxa"/>
          </w:tcPr>
          <w:p w14:paraId="6C80668A" w14:textId="77777777" w:rsidR="00D03558" w:rsidRPr="002B0297" w:rsidRDefault="008E40C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Extractable potassium content</w:t>
            </w:r>
          </w:p>
        </w:tc>
        <w:tc>
          <w:tcPr>
            <w:tcW w:w="1139" w:type="dxa"/>
          </w:tcPr>
          <w:p w14:paraId="14EAA4A9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mg/kg</w:t>
            </w:r>
          </w:p>
        </w:tc>
        <w:tc>
          <w:tcPr>
            <w:tcW w:w="1559" w:type="dxa"/>
          </w:tcPr>
          <w:p w14:paraId="08BBA9DC" w14:textId="77777777" w:rsidR="00D03558" w:rsidRPr="002B0297" w:rsidRDefault="00595DBE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10</w:t>
            </w:r>
          </w:p>
        </w:tc>
      </w:tr>
    </w:tbl>
    <w:p w14:paraId="40DB8319" w14:textId="77777777" w:rsidR="00BD2828" w:rsidRPr="002B0297" w:rsidRDefault="00BD2828" w:rsidP="00BD37B7">
      <w:pPr>
        <w:spacing w:before="240"/>
        <w:rPr>
          <w:rFonts w:cs="Times New Roman"/>
          <w:sz w:val="24"/>
          <w:szCs w:val="24"/>
        </w:rPr>
      </w:pPr>
      <w:r w:rsidRPr="002B0297">
        <w:rPr>
          <w:rFonts w:cs="Times New Roman"/>
          <w:sz w:val="24"/>
          <w:szCs w:val="24"/>
        </w:rPr>
        <w:t>Please note that for carbonates, values below the limit of detection</w:t>
      </w:r>
      <w:r w:rsidR="0016237E" w:rsidRPr="002B0297">
        <w:rPr>
          <w:rFonts w:cs="Times New Roman"/>
          <w:sz w:val="24"/>
          <w:szCs w:val="24"/>
        </w:rPr>
        <w:t xml:space="preserve"> (including the zero value)</w:t>
      </w:r>
      <w:r w:rsidRPr="002B0297">
        <w:rPr>
          <w:rFonts w:cs="Times New Roman"/>
          <w:sz w:val="24"/>
          <w:szCs w:val="24"/>
        </w:rPr>
        <w:t xml:space="preserve"> </w:t>
      </w:r>
      <w:r w:rsidR="0016237E" w:rsidRPr="002B0297">
        <w:rPr>
          <w:rFonts w:cs="Times New Roman"/>
          <w:sz w:val="24"/>
          <w:szCs w:val="24"/>
        </w:rPr>
        <w:t xml:space="preserve">indicate that the </w:t>
      </w:r>
      <w:r w:rsidRPr="002B0297">
        <w:rPr>
          <w:rFonts w:cs="Times New Roman"/>
          <w:sz w:val="24"/>
          <w:szCs w:val="24"/>
        </w:rPr>
        <w:t xml:space="preserve">content of carbonates in the sample is negligible. </w:t>
      </w:r>
      <w:r w:rsidR="00E93C52" w:rsidRPr="002B0297">
        <w:rPr>
          <w:rFonts w:cs="Times New Roman"/>
          <w:sz w:val="24"/>
          <w:szCs w:val="24"/>
        </w:rPr>
        <w:t>In the case of P</w:t>
      </w:r>
      <w:r w:rsidR="0052304E" w:rsidRPr="002B0297">
        <w:rPr>
          <w:rFonts w:cs="Times New Roman"/>
          <w:sz w:val="24"/>
          <w:szCs w:val="24"/>
        </w:rPr>
        <w:t xml:space="preserve">, </w:t>
      </w:r>
      <w:r w:rsidR="00094A6F" w:rsidRPr="002B0297">
        <w:rPr>
          <w:rFonts w:cs="Times New Roman"/>
          <w:sz w:val="24"/>
          <w:szCs w:val="24"/>
        </w:rPr>
        <w:t xml:space="preserve">contents below 10 mg/kg (the limit of detection) could not be quantified with enough uncertainty in the </w:t>
      </w:r>
      <w:r w:rsidR="00094A6F" w:rsidRPr="002B0297">
        <w:rPr>
          <w:rFonts w:cs="Times New Roman"/>
          <w:sz w:val="24"/>
          <w:szCs w:val="24"/>
        </w:rPr>
        <w:lastRenderedPageBreak/>
        <w:t>samples</w:t>
      </w:r>
      <w:r w:rsidR="001C02BA" w:rsidRPr="002B0297">
        <w:rPr>
          <w:rFonts w:cs="Times New Roman"/>
          <w:sz w:val="24"/>
          <w:szCs w:val="24"/>
        </w:rPr>
        <w:t xml:space="preserve"> by the laboratory</w:t>
      </w:r>
      <w:r w:rsidR="00094A6F" w:rsidRPr="002B0297">
        <w:rPr>
          <w:rFonts w:cs="Times New Roman"/>
          <w:sz w:val="24"/>
          <w:szCs w:val="24"/>
        </w:rPr>
        <w:t xml:space="preserve">. It is up to each user to decide which samples should be omitted </w:t>
      </w:r>
      <w:r w:rsidR="001C02BA" w:rsidRPr="002B0297">
        <w:rPr>
          <w:rFonts w:cs="Times New Roman"/>
          <w:sz w:val="24"/>
          <w:szCs w:val="24"/>
        </w:rPr>
        <w:t xml:space="preserve">from their studies </w:t>
      </w:r>
      <w:r w:rsidR="00094A6F" w:rsidRPr="002B0297">
        <w:rPr>
          <w:rFonts w:cs="Times New Roman"/>
          <w:sz w:val="24"/>
          <w:szCs w:val="24"/>
        </w:rPr>
        <w:t xml:space="preserve">because </w:t>
      </w:r>
      <w:r w:rsidR="000075BD" w:rsidRPr="002B0297">
        <w:rPr>
          <w:rFonts w:cs="Times New Roman"/>
          <w:sz w:val="24"/>
          <w:szCs w:val="24"/>
        </w:rPr>
        <w:t xml:space="preserve">their </w:t>
      </w:r>
      <w:r w:rsidR="00094A6F" w:rsidRPr="002B0297">
        <w:rPr>
          <w:rFonts w:cs="Times New Roman"/>
          <w:sz w:val="24"/>
          <w:szCs w:val="24"/>
        </w:rPr>
        <w:t xml:space="preserve">P contents were well </w:t>
      </w:r>
      <w:r w:rsidR="00E93C52" w:rsidRPr="002B0297">
        <w:rPr>
          <w:rFonts w:cs="Times New Roman"/>
          <w:sz w:val="24"/>
          <w:szCs w:val="24"/>
        </w:rPr>
        <w:t>below</w:t>
      </w:r>
      <w:r w:rsidR="00094A6F" w:rsidRPr="002B0297">
        <w:rPr>
          <w:rFonts w:cs="Times New Roman"/>
          <w:sz w:val="24"/>
          <w:szCs w:val="24"/>
        </w:rPr>
        <w:t xml:space="preserve"> </w:t>
      </w:r>
      <w:r w:rsidR="000075BD" w:rsidRPr="002B0297">
        <w:rPr>
          <w:rFonts w:cs="Times New Roman"/>
          <w:sz w:val="24"/>
          <w:szCs w:val="24"/>
        </w:rPr>
        <w:t xml:space="preserve">the </w:t>
      </w:r>
      <w:r w:rsidR="00094A6F" w:rsidRPr="002B0297">
        <w:rPr>
          <w:rFonts w:cs="Times New Roman"/>
          <w:sz w:val="24"/>
          <w:szCs w:val="24"/>
        </w:rPr>
        <w:t>limit of detection.</w:t>
      </w:r>
    </w:p>
    <w:p w14:paraId="40412282" w14:textId="77777777" w:rsidR="00F36100" w:rsidRPr="002B0297" w:rsidRDefault="006767EA" w:rsidP="00BD37B7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 the</w:t>
      </w:r>
      <w:r w:rsidR="00F36100" w:rsidRPr="002B0297">
        <w:rPr>
          <w:rFonts w:cs="Times New Roman"/>
          <w:sz w:val="24"/>
          <w:szCs w:val="24"/>
        </w:rPr>
        <w:t xml:space="preserve"> revisited points, </w:t>
      </w:r>
      <w:r>
        <w:rPr>
          <w:rFonts w:cs="Times New Roman"/>
          <w:sz w:val="24"/>
          <w:szCs w:val="24"/>
        </w:rPr>
        <w:t>one</w:t>
      </w:r>
      <w:r w:rsidR="00F36100" w:rsidRPr="002B0297">
        <w:rPr>
          <w:rFonts w:cs="Times New Roman"/>
          <w:sz w:val="24"/>
          <w:szCs w:val="24"/>
        </w:rPr>
        <w:t xml:space="preserve"> can link </w:t>
      </w:r>
      <w:r w:rsidR="000E5670" w:rsidRPr="002B0297">
        <w:rPr>
          <w:rFonts w:cs="Times New Roman"/>
          <w:sz w:val="24"/>
          <w:szCs w:val="24"/>
        </w:rPr>
        <w:t xml:space="preserve">the </w:t>
      </w:r>
      <w:r w:rsidR="00F36100" w:rsidRPr="002B0297">
        <w:rPr>
          <w:rFonts w:cs="Times New Roman"/>
          <w:sz w:val="24"/>
          <w:szCs w:val="24"/>
        </w:rPr>
        <w:t xml:space="preserve">data of </w:t>
      </w:r>
      <w:r>
        <w:rPr>
          <w:rFonts w:cs="Times New Roman"/>
          <w:sz w:val="24"/>
          <w:szCs w:val="24"/>
        </w:rPr>
        <w:t xml:space="preserve">the </w:t>
      </w:r>
      <w:r w:rsidR="00F36100" w:rsidRPr="002B0297">
        <w:rPr>
          <w:rFonts w:cs="Times New Roman"/>
          <w:sz w:val="24"/>
          <w:szCs w:val="24"/>
        </w:rPr>
        <w:t xml:space="preserve">LUCAS 2015 </w:t>
      </w:r>
      <w:r w:rsidR="000E5670" w:rsidRPr="002B0297">
        <w:rPr>
          <w:rFonts w:cs="Times New Roman"/>
          <w:sz w:val="24"/>
          <w:szCs w:val="24"/>
        </w:rPr>
        <w:t xml:space="preserve">and </w:t>
      </w:r>
      <w:r w:rsidR="00F36100" w:rsidRPr="002B0297">
        <w:rPr>
          <w:rFonts w:cs="Times New Roman"/>
          <w:sz w:val="24"/>
          <w:szCs w:val="24"/>
        </w:rPr>
        <w:t xml:space="preserve">2009/2012 </w:t>
      </w:r>
      <w:r>
        <w:rPr>
          <w:rFonts w:cs="Times New Roman"/>
          <w:sz w:val="24"/>
          <w:szCs w:val="24"/>
        </w:rPr>
        <w:t xml:space="preserve">soil </w:t>
      </w:r>
      <w:r w:rsidR="00F36100" w:rsidRPr="002B0297">
        <w:rPr>
          <w:rFonts w:cs="Times New Roman"/>
          <w:sz w:val="24"/>
          <w:szCs w:val="24"/>
        </w:rPr>
        <w:t xml:space="preserve">surveys </w:t>
      </w:r>
      <w:r w:rsidR="000E5670" w:rsidRPr="002B0297">
        <w:rPr>
          <w:rFonts w:cs="Times New Roman"/>
          <w:sz w:val="24"/>
          <w:szCs w:val="24"/>
        </w:rPr>
        <w:t xml:space="preserve">using the </w:t>
      </w:r>
      <w:r w:rsidR="00F36100" w:rsidRPr="002B0297">
        <w:rPr>
          <w:rFonts w:cs="Times New Roman"/>
          <w:sz w:val="24"/>
          <w:szCs w:val="24"/>
        </w:rPr>
        <w:t>Point_ID</w:t>
      </w:r>
      <w:r w:rsidR="003260B6" w:rsidRPr="002B0297">
        <w:rPr>
          <w:rFonts w:cs="Times New Roman"/>
          <w:sz w:val="24"/>
          <w:szCs w:val="24"/>
        </w:rPr>
        <w:t xml:space="preserve"> of the samples</w:t>
      </w:r>
      <w:r w:rsidR="00F36100" w:rsidRPr="002B0297">
        <w:rPr>
          <w:rFonts w:cs="Times New Roman"/>
          <w:sz w:val="24"/>
          <w:szCs w:val="24"/>
        </w:rPr>
        <w:t xml:space="preserve">. </w:t>
      </w:r>
      <w:r w:rsidR="000E5670" w:rsidRPr="002B0297">
        <w:rPr>
          <w:rFonts w:cs="Times New Roman"/>
          <w:sz w:val="24"/>
          <w:szCs w:val="24"/>
        </w:rPr>
        <w:t>The LU</w:t>
      </w:r>
      <w:r w:rsidR="0032688D">
        <w:rPr>
          <w:rFonts w:cs="Times New Roman"/>
          <w:sz w:val="24"/>
          <w:szCs w:val="24"/>
        </w:rPr>
        <w:t>CAS Topsoil dataset of 2009/</w:t>
      </w:r>
      <w:r w:rsidR="000E5670" w:rsidRPr="002B0297">
        <w:rPr>
          <w:rFonts w:cs="Times New Roman"/>
          <w:sz w:val="24"/>
          <w:szCs w:val="24"/>
        </w:rPr>
        <w:t xml:space="preserve">2012 surveys can be accessed from the website of ESDAC: </w:t>
      </w:r>
      <w:hyperlink r:id="rId5" w:history="1">
        <w:r w:rsidR="000E5670" w:rsidRPr="002B0297">
          <w:rPr>
            <w:rStyle w:val="Hyperlink"/>
          </w:rPr>
          <w:t>https://esdac.jrc.ec.europa.eu/</w:t>
        </w:r>
      </w:hyperlink>
    </w:p>
    <w:p w14:paraId="1DD5B98F" w14:textId="1E8A660A" w:rsidR="002B0297" w:rsidRDefault="004537A0" w:rsidP="00BD37B7">
      <w:pPr>
        <w:spacing w:before="240"/>
      </w:pPr>
      <w:r w:rsidRPr="002B0297">
        <w:rPr>
          <w:rFonts w:cs="Times New Roman"/>
          <w:sz w:val="24"/>
          <w:szCs w:val="24"/>
        </w:rPr>
        <w:t>Detailed information</w:t>
      </w:r>
      <w:r w:rsidR="0032688D">
        <w:rPr>
          <w:rFonts w:cs="Times New Roman"/>
          <w:sz w:val="24"/>
          <w:szCs w:val="24"/>
        </w:rPr>
        <w:t xml:space="preserve"> </w:t>
      </w:r>
      <w:r w:rsidRPr="002B0297">
        <w:rPr>
          <w:rFonts w:cs="Times New Roman"/>
          <w:sz w:val="24"/>
          <w:szCs w:val="24"/>
        </w:rPr>
        <w:t>on land cover and land use, irrigation management</w:t>
      </w:r>
      <w:r w:rsidR="00565B2F">
        <w:rPr>
          <w:rFonts w:cs="Times New Roman"/>
          <w:sz w:val="24"/>
          <w:szCs w:val="24"/>
        </w:rPr>
        <w:t xml:space="preserve">, </w:t>
      </w:r>
      <w:r w:rsidRPr="002B0297">
        <w:rPr>
          <w:rFonts w:cs="Times New Roman"/>
          <w:sz w:val="24"/>
          <w:szCs w:val="24"/>
        </w:rPr>
        <w:t>structural elements</w:t>
      </w:r>
      <w:r w:rsidR="00565B2F" w:rsidRPr="00565B2F">
        <w:rPr>
          <w:rFonts w:cs="Times New Roman"/>
          <w:sz w:val="24"/>
          <w:szCs w:val="24"/>
        </w:rPr>
        <w:t xml:space="preserve"> </w:t>
      </w:r>
      <w:r w:rsidR="00565B2F" w:rsidRPr="002B0297">
        <w:rPr>
          <w:rFonts w:cs="Times New Roman"/>
          <w:sz w:val="24"/>
          <w:szCs w:val="24"/>
        </w:rPr>
        <w:t>in the landscape</w:t>
      </w:r>
      <w:r w:rsidR="00565B2F">
        <w:rPr>
          <w:rFonts w:cs="Times New Roman"/>
          <w:sz w:val="24"/>
          <w:szCs w:val="24"/>
        </w:rPr>
        <w:t xml:space="preserve"> and crop residues </w:t>
      </w:r>
      <w:r w:rsidR="0032688D">
        <w:rPr>
          <w:rFonts w:cs="Times New Roman"/>
          <w:sz w:val="24"/>
          <w:szCs w:val="24"/>
        </w:rPr>
        <w:t>for the LUCAS 2015 campaign</w:t>
      </w:r>
      <w:r w:rsidR="0032688D" w:rsidRPr="002B0297">
        <w:rPr>
          <w:rFonts w:cs="Times New Roman"/>
          <w:sz w:val="24"/>
          <w:szCs w:val="24"/>
        </w:rPr>
        <w:t xml:space="preserve"> </w:t>
      </w:r>
      <w:r w:rsidRPr="002B0297">
        <w:rPr>
          <w:rFonts w:cs="Times New Roman"/>
          <w:sz w:val="24"/>
          <w:szCs w:val="24"/>
        </w:rPr>
        <w:t xml:space="preserve">can be accessed from the website of Eurostat: </w:t>
      </w:r>
      <w:hyperlink r:id="rId6" w:history="1">
        <w:r w:rsidRPr="002B0297">
          <w:rPr>
            <w:rStyle w:val="Hyperlink"/>
          </w:rPr>
          <w:t>https://ec.europa.eu/eurostat/web/lucas/data/primary-data/2015</w:t>
        </w:r>
      </w:hyperlink>
      <w:r w:rsidR="00BA3DCF" w:rsidRPr="002B0297">
        <w:t xml:space="preserve">. </w:t>
      </w:r>
    </w:p>
    <w:p w14:paraId="2B3C5EBE" w14:textId="77777777" w:rsidR="004537A0" w:rsidRDefault="0032688D" w:rsidP="00BD37B7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order to find </w:t>
      </w:r>
      <w:r w:rsidR="008A3C7A">
        <w:rPr>
          <w:rFonts w:cs="Times New Roman"/>
          <w:sz w:val="24"/>
          <w:szCs w:val="24"/>
        </w:rPr>
        <w:t>the connection between the LUCAS 2015 topsoil data and general LUCAS 2015 campaign data, yo</w:t>
      </w:r>
      <w:r w:rsidR="0003711B" w:rsidRPr="002B0297">
        <w:rPr>
          <w:rFonts w:cs="Times New Roman"/>
          <w:sz w:val="24"/>
          <w:szCs w:val="24"/>
        </w:rPr>
        <w:t>u need to use the Point_ID</w:t>
      </w:r>
      <w:r>
        <w:rPr>
          <w:rFonts w:cs="Times New Roman"/>
          <w:sz w:val="24"/>
          <w:szCs w:val="24"/>
        </w:rPr>
        <w:t xml:space="preserve"> </w:t>
      </w:r>
      <w:r w:rsidR="008A3C7A">
        <w:rPr>
          <w:rFonts w:cs="Times New Roman"/>
          <w:sz w:val="24"/>
          <w:szCs w:val="24"/>
        </w:rPr>
        <w:t>values</w:t>
      </w:r>
      <w:r w:rsidR="0003711B" w:rsidRPr="002B0297">
        <w:rPr>
          <w:rFonts w:cs="Times New Roman"/>
          <w:sz w:val="24"/>
          <w:szCs w:val="24"/>
        </w:rPr>
        <w:t>.</w:t>
      </w:r>
    </w:p>
    <w:p w14:paraId="40DDCB52" w14:textId="241D44BF" w:rsidR="00BD7903" w:rsidRPr="002B0297" w:rsidRDefault="00BD7903" w:rsidP="00BD37B7">
      <w:pPr>
        <w:spacing w:before="240"/>
        <w:rPr>
          <w:rFonts w:cs="Times New Roman"/>
          <w:sz w:val="24"/>
          <w:szCs w:val="24"/>
        </w:rPr>
      </w:pPr>
      <w:r w:rsidRPr="002B0297">
        <w:rPr>
          <w:rFonts w:cs="Times New Roman"/>
          <w:sz w:val="24"/>
          <w:szCs w:val="24"/>
        </w:rPr>
        <w:t xml:space="preserve">For the convenience of the user, we added in the Excel file a number of fields </w:t>
      </w:r>
      <w:r w:rsidR="00565B2F">
        <w:rPr>
          <w:lang w:val="en-GB"/>
        </w:rPr>
        <w:t xml:space="preserve">(Elevation, LC1, LU1, SOIL_STONES, NUTS_0, NUTS_1, NUTS_2) </w:t>
      </w:r>
      <w:r w:rsidR="00D81B89" w:rsidRPr="002B0297">
        <w:rPr>
          <w:rFonts w:cs="Times New Roman"/>
          <w:sz w:val="24"/>
          <w:szCs w:val="24"/>
        </w:rPr>
        <w:t>that may be useful.</w:t>
      </w:r>
      <w:r w:rsidRPr="002B0297">
        <w:rPr>
          <w:rFonts w:cs="Times New Roman"/>
          <w:sz w:val="24"/>
          <w:szCs w:val="24"/>
        </w:rPr>
        <w:t xml:space="preserve"> </w:t>
      </w:r>
      <w:r w:rsidR="008A3C7A">
        <w:rPr>
          <w:rFonts w:cs="Times New Roman"/>
          <w:sz w:val="24"/>
          <w:szCs w:val="24"/>
        </w:rPr>
        <w:t xml:space="preserve">The field values were taken from the </w:t>
      </w:r>
      <w:r w:rsidR="006767EA">
        <w:rPr>
          <w:rFonts w:cs="Times New Roman"/>
          <w:sz w:val="24"/>
          <w:szCs w:val="24"/>
        </w:rPr>
        <w:t xml:space="preserve">official </w:t>
      </w:r>
      <w:r w:rsidR="008A3C7A">
        <w:rPr>
          <w:rFonts w:cs="Times New Roman"/>
          <w:sz w:val="24"/>
          <w:szCs w:val="24"/>
        </w:rPr>
        <w:t xml:space="preserve">Eurostat LUCAS 2015 campaign </w:t>
      </w:r>
      <w:r w:rsidR="009E1CD3">
        <w:rPr>
          <w:rFonts w:cs="Times New Roman"/>
          <w:sz w:val="24"/>
          <w:szCs w:val="24"/>
        </w:rPr>
        <w:t>micro</w:t>
      </w:r>
      <w:r w:rsidR="008A3C7A">
        <w:rPr>
          <w:rFonts w:cs="Times New Roman"/>
          <w:sz w:val="24"/>
          <w:szCs w:val="24"/>
        </w:rPr>
        <w:t>data.</w:t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581"/>
        <w:gridCol w:w="6633"/>
      </w:tblGrid>
      <w:tr w:rsidR="00D81B89" w:rsidRPr="002B0297" w14:paraId="031D0689" w14:textId="77777777" w:rsidTr="002B0297">
        <w:trPr>
          <w:trHeight w:val="276"/>
        </w:trPr>
        <w:tc>
          <w:tcPr>
            <w:tcW w:w="2581" w:type="dxa"/>
          </w:tcPr>
          <w:p w14:paraId="17CDDA3D" w14:textId="77777777" w:rsidR="00D81B89" w:rsidRPr="002B0297" w:rsidRDefault="00D81B8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t>Elevation</w:t>
            </w:r>
          </w:p>
        </w:tc>
        <w:tc>
          <w:tcPr>
            <w:tcW w:w="6633" w:type="dxa"/>
          </w:tcPr>
          <w:p w14:paraId="4F3A1AA5" w14:textId="77777777" w:rsidR="00D81B89" w:rsidRPr="002B0297" w:rsidRDefault="002B0297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elevation at which the soil sample was taken (in meter)</w:t>
            </w:r>
            <w:r w:rsidR="008A3C7A">
              <w:rPr>
                <w:rFonts w:cs="Times New Roman"/>
                <w:sz w:val="20"/>
                <w:szCs w:val="20"/>
              </w:rPr>
              <w:t xml:space="preserve"> (GPS_ALTITUDE)</w:t>
            </w:r>
          </w:p>
        </w:tc>
      </w:tr>
      <w:tr w:rsidR="00D81B89" w:rsidRPr="002B0297" w14:paraId="5715D187" w14:textId="77777777" w:rsidTr="002B0297">
        <w:trPr>
          <w:trHeight w:val="264"/>
        </w:trPr>
        <w:tc>
          <w:tcPr>
            <w:tcW w:w="2581" w:type="dxa"/>
          </w:tcPr>
          <w:p w14:paraId="0B905A0A" w14:textId="77777777" w:rsidR="00D81B89" w:rsidRPr="002B0297" w:rsidRDefault="00D81B8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LC1</w:t>
            </w:r>
          </w:p>
        </w:tc>
        <w:tc>
          <w:tcPr>
            <w:tcW w:w="6633" w:type="dxa"/>
          </w:tcPr>
          <w:p w14:paraId="3BDAE1D1" w14:textId="77777777" w:rsidR="00D81B89" w:rsidRPr="002B0297" w:rsidRDefault="002B0297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LandCover class</w:t>
            </w:r>
          </w:p>
        </w:tc>
      </w:tr>
      <w:tr w:rsidR="00D81B89" w:rsidRPr="002B0297" w14:paraId="38D2D6E9" w14:textId="77777777" w:rsidTr="002B0297">
        <w:trPr>
          <w:trHeight w:val="264"/>
        </w:trPr>
        <w:tc>
          <w:tcPr>
            <w:tcW w:w="2581" w:type="dxa"/>
          </w:tcPr>
          <w:p w14:paraId="7B1404F3" w14:textId="77777777" w:rsidR="00D81B89" w:rsidRPr="002B0297" w:rsidRDefault="00D81B8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LU1</w:t>
            </w:r>
          </w:p>
        </w:tc>
        <w:tc>
          <w:tcPr>
            <w:tcW w:w="6633" w:type="dxa"/>
          </w:tcPr>
          <w:p w14:paraId="4A0EE779" w14:textId="77777777" w:rsidR="00D81B89" w:rsidRPr="002B0297" w:rsidRDefault="002B0297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LandUse class</w:t>
            </w:r>
          </w:p>
        </w:tc>
      </w:tr>
      <w:tr w:rsidR="00D81B89" w:rsidRPr="002B0297" w14:paraId="458CB299" w14:textId="77777777" w:rsidTr="002B0297">
        <w:trPr>
          <w:trHeight w:val="264"/>
        </w:trPr>
        <w:tc>
          <w:tcPr>
            <w:tcW w:w="2581" w:type="dxa"/>
          </w:tcPr>
          <w:p w14:paraId="0B8B8D34" w14:textId="77777777" w:rsidR="00D81B89" w:rsidRPr="002B0297" w:rsidRDefault="00D81B8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SOIL_STONES</w:t>
            </w:r>
          </w:p>
        </w:tc>
        <w:tc>
          <w:tcPr>
            <w:tcW w:w="6633" w:type="dxa"/>
          </w:tcPr>
          <w:p w14:paraId="03B4AE3B" w14:textId="77777777" w:rsidR="00D81B89" w:rsidRPr="002B0297" w:rsidRDefault="002B0297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Percentage of Stones in the sample, as a class</w:t>
            </w:r>
          </w:p>
        </w:tc>
      </w:tr>
      <w:tr w:rsidR="00D81B89" w:rsidRPr="002B0297" w14:paraId="1EBE316D" w14:textId="77777777" w:rsidTr="002B0297">
        <w:trPr>
          <w:trHeight w:val="264"/>
        </w:trPr>
        <w:tc>
          <w:tcPr>
            <w:tcW w:w="2581" w:type="dxa"/>
          </w:tcPr>
          <w:p w14:paraId="41AC7505" w14:textId="77777777" w:rsidR="00D81B89" w:rsidRPr="002B0297" w:rsidRDefault="00D81B8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NUTS_0</w:t>
            </w:r>
          </w:p>
        </w:tc>
        <w:tc>
          <w:tcPr>
            <w:tcW w:w="6633" w:type="dxa"/>
          </w:tcPr>
          <w:p w14:paraId="101207B4" w14:textId="77777777" w:rsidR="00D81B89" w:rsidRPr="002B0297" w:rsidRDefault="002B0297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NUTS code for the country where the sample was taken</w:t>
            </w:r>
          </w:p>
        </w:tc>
      </w:tr>
      <w:tr w:rsidR="00D81B89" w:rsidRPr="002B0297" w14:paraId="63E0D17F" w14:textId="77777777" w:rsidTr="002B0297">
        <w:trPr>
          <w:trHeight w:val="264"/>
        </w:trPr>
        <w:tc>
          <w:tcPr>
            <w:tcW w:w="2581" w:type="dxa"/>
          </w:tcPr>
          <w:p w14:paraId="017ADC72" w14:textId="77777777" w:rsidR="00D81B89" w:rsidRPr="002B0297" w:rsidRDefault="00D81B8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NUTS_1, NUTS_2, NUTS_3</w:t>
            </w:r>
          </w:p>
        </w:tc>
        <w:tc>
          <w:tcPr>
            <w:tcW w:w="6633" w:type="dxa"/>
          </w:tcPr>
          <w:p w14:paraId="6167BD94" w14:textId="77777777" w:rsidR="00D81B89" w:rsidRPr="002B0297" w:rsidRDefault="002B0297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NUTS 1, 2 and 3 codes for the location where the sample was taken</w:t>
            </w:r>
          </w:p>
        </w:tc>
      </w:tr>
      <w:tr w:rsidR="00D81B89" w:rsidRPr="002B0297" w14:paraId="373D98EA" w14:textId="77777777" w:rsidTr="002B0297">
        <w:trPr>
          <w:trHeight w:val="264"/>
        </w:trPr>
        <w:tc>
          <w:tcPr>
            <w:tcW w:w="2581" w:type="dxa"/>
          </w:tcPr>
          <w:p w14:paraId="42D1EEAC" w14:textId="77777777" w:rsidR="00D81B89" w:rsidRPr="002B0297" w:rsidRDefault="00D81B8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LC1_Desc</w:t>
            </w:r>
          </w:p>
        </w:tc>
        <w:tc>
          <w:tcPr>
            <w:tcW w:w="6633" w:type="dxa"/>
          </w:tcPr>
          <w:p w14:paraId="0ABE07CA" w14:textId="77777777" w:rsidR="00D81B89" w:rsidRPr="002B0297" w:rsidRDefault="002B0297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LandCover class description</w:t>
            </w:r>
          </w:p>
        </w:tc>
      </w:tr>
      <w:tr w:rsidR="00D81B89" w:rsidRPr="002B0297" w14:paraId="167CB7E1" w14:textId="77777777" w:rsidTr="002B0297">
        <w:trPr>
          <w:trHeight w:val="264"/>
        </w:trPr>
        <w:tc>
          <w:tcPr>
            <w:tcW w:w="2581" w:type="dxa"/>
          </w:tcPr>
          <w:p w14:paraId="51201C41" w14:textId="77777777" w:rsidR="00D81B89" w:rsidRPr="002B0297" w:rsidRDefault="00D81B8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LU1_Desc</w:t>
            </w:r>
          </w:p>
        </w:tc>
        <w:tc>
          <w:tcPr>
            <w:tcW w:w="6633" w:type="dxa"/>
          </w:tcPr>
          <w:p w14:paraId="57E8BBE2" w14:textId="77777777" w:rsidR="00D81B89" w:rsidRPr="002B0297" w:rsidRDefault="002B0297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LandUse class description</w:t>
            </w:r>
          </w:p>
        </w:tc>
      </w:tr>
    </w:tbl>
    <w:p w14:paraId="49A6DFFF" w14:textId="10295CAF" w:rsidR="00D81B89" w:rsidRPr="002B0297" w:rsidRDefault="002B0297" w:rsidP="00BD37B7">
      <w:pPr>
        <w:spacing w:before="240"/>
        <w:rPr>
          <w:lang w:val="en-GB"/>
        </w:rPr>
      </w:pPr>
      <w:r w:rsidRPr="002B0297">
        <w:rPr>
          <w:lang w:val="en-GB"/>
        </w:rPr>
        <w:t xml:space="preserve">The </w:t>
      </w:r>
      <w:r>
        <w:rPr>
          <w:lang w:val="en-GB"/>
        </w:rPr>
        <w:t xml:space="preserve">possible </w:t>
      </w:r>
      <w:r w:rsidRPr="002B0297">
        <w:rPr>
          <w:lang w:val="en-GB"/>
        </w:rPr>
        <w:t>class</w:t>
      </w:r>
      <w:r>
        <w:rPr>
          <w:lang w:val="en-GB"/>
        </w:rPr>
        <w:t xml:space="preserve"> values </w:t>
      </w:r>
      <w:r w:rsidRPr="002B0297">
        <w:rPr>
          <w:lang w:val="en-GB"/>
        </w:rPr>
        <w:t>for LC1, LU1, SOIL_STONES</w:t>
      </w:r>
      <w:r w:rsidR="0072665F">
        <w:rPr>
          <w:lang w:val="en-GB"/>
        </w:rPr>
        <w:t xml:space="preserve"> and descriptions can be found on </w:t>
      </w:r>
      <w:r w:rsidR="00814010">
        <w:rPr>
          <w:lang w:val="en-GB"/>
        </w:rPr>
        <w:t xml:space="preserve">the Eurostat page; see link </w:t>
      </w:r>
      <w:hyperlink r:id="rId7" w:history="1">
        <w:r w:rsidR="00814010" w:rsidRPr="00814010">
          <w:rPr>
            <w:rStyle w:val="Hyperlink"/>
            <w:lang w:val="en-GB"/>
          </w:rPr>
          <w:t>LUCAS 2015 Record Descriptor</w:t>
        </w:r>
      </w:hyperlink>
      <w:r w:rsidR="00814010">
        <w:rPr>
          <w:lang w:val="en-GB"/>
        </w:rPr>
        <w:t>.</w:t>
      </w:r>
    </w:p>
    <w:p w14:paraId="21EC0863" w14:textId="77777777" w:rsidR="008A3C7A" w:rsidRDefault="008A3C7A" w:rsidP="00690F1A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color w:val="0070C0"/>
        </w:rPr>
      </w:pPr>
    </w:p>
    <w:p w14:paraId="770A9421" w14:textId="77777777" w:rsidR="00690F1A" w:rsidRPr="00A22CE0" w:rsidRDefault="00B5665A" w:rsidP="00690F1A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b/>
          <w:color w:val="FF0000"/>
        </w:rPr>
      </w:pPr>
      <w:r w:rsidRPr="00A22CE0">
        <w:rPr>
          <w:rFonts w:asciiTheme="minorHAnsi" w:hAnsiTheme="minorHAnsi"/>
          <w:b/>
          <w:color w:val="0070C0"/>
        </w:rPr>
        <w:t xml:space="preserve">LUCAS_Topsoil_2015_20200323.shp </w:t>
      </w:r>
    </w:p>
    <w:p w14:paraId="6BE1B1D8" w14:textId="77777777" w:rsidR="002906C5" w:rsidRPr="0062100D" w:rsidRDefault="009E1CD3" w:rsidP="009E1CD3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 w:rsidRPr="0062100D">
        <w:rPr>
          <w:rFonts w:asciiTheme="minorHAnsi" w:hAnsiTheme="minorHAnsi"/>
        </w:rPr>
        <w:t xml:space="preserve">This point </w:t>
      </w:r>
      <w:r w:rsidR="00075AA1" w:rsidRPr="0062100D">
        <w:rPr>
          <w:rFonts w:asciiTheme="minorHAnsi" w:hAnsiTheme="minorHAnsi"/>
        </w:rPr>
        <w:t>shapefile</w:t>
      </w:r>
      <w:r w:rsidRPr="0062100D">
        <w:rPr>
          <w:rFonts w:asciiTheme="minorHAnsi" w:hAnsiTheme="minorHAnsi"/>
        </w:rPr>
        <w:t xml:space="preserve"> has been derived </w:t>
      </w:r>
      <w:r w:rsidR="00075AA1">
        <w:rPr>
          <w:rFonts w:asciiTheme="minorHAnsi" w:hAnsiTheme="minorHAnsi"/>
        </w:rPr>
        <w:t>using</w:t>
      </w:r>
      <w:r w:rsidRPr="0062100D">
        <w:rPr>
          <w:rFonts w:asciiTheme="minorHAnsi" w:hAnsiTheme="minorHAnsi"/>
        </w:rPr>
        <w:t xml:space="preserve"> the </w:t>
      </w:r>
      <w:r w:rsidRPr="0062100D">
        <w:rPr>
          <w:rFonts w:asciiTheme="minorHAnsi" w:hAnsiTheme="minorHAnsi"/>
          <w:i/>
        </w:rPr>
        <w:t>theoretical coordinates</w:t>
      </w:r>
      <w:r w:rsidRPr="0062100D">
        <w:rPr>
          <w:rFonts w:asciiTheme="minorHAnsi" w:hAnsiTheme="minorHAnsi"/>
        </w:rPr>
        <w:t xml:space="preserve"> for the soil sampling points; these coordinates are explicitly part of the Eurostat LUCAS 2015 campaign microdata. The attribute table of the shapefile contains the following attributes: </w:t>
      </w:r>
      <w:r w:rsidR="002906C5" w:rsidRPr="0062100D">
        <w:rPr>
          <w:rFonts w:asciiTheme="minorHAnsi" w:hAnsiTheme="minorHAnsi"/>
        </w:rPr>
        <w:t>Point_ID</w:t>
      </w:r>
      <w:r w:rsidR="00FF1C31" w:rsidRPr="0062100D">
        <w:rPr>
          <w:rFonts w:asciiTheme="minorHAnsi" w:hAnsiTheme="minorHAnsi"/>
        </w:rPr>
        <w:t xml:space="preserve">, Coarse, Clay, Sand, Silt, pH_CaCl2, </w:t>
      </w:r>
      <w:r w:rsidR="002906C5" w:rsidRPr="0062100D">
        <w:rPr>
          <w:rFonts w:asciiTheme="minorHAnsi" w:hAnsiTheme="minorHAnsi"/>
        </w:rPr>
        <w:t>pH_H20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EC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OC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CaCO3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P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N</w:t>
      </w:r>
      <w:r w:rsidR="00FF1C31" w:rsidRPr="0062100D">
        <w:rPr>
          <w:rFonts w:asciiTheme="minorHAnsi" w:hAnsiTheme="minorHAnsi"/>
        </w:rPr>
        <w:t>,</w:t>
      </w:r>
      <w:r w:rsidR="002906C5" w:rsidRPr="0062100D">
        <w:rPr>
          <w:rFonts w:asciiTheme="minorHAnsi" w:hAnsiTheme="minorHAnsi"/>
        </w:rPr>
        <w:tab/>
        <w:t>K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LC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LU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NUTS_0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NUTS_1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NUTS_2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NUTS_3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LC0_Desc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LC1_Desc</w:t>
      </w:r>
      <w:r w:rsidR="00FF1C31" w:rsidRPr="0062100D">
        <w:rPr>
          <w:rFonts w:asciiTheme="minorHAnsi" w:hAnsiTheme="minorHAnsi"/>
        </w:rPr>
        <w:t xml:space="preserve">, </w:t>
      </w:r>
      <w:r w:rsidR="002906C5" w:rsidRPr="0062100D">
        <w:rPr>
          <w:rFonts w:asciiTheme="minorHAnsi" w:hAnsiTheme="minorHAnsi"/>
        </w:rPr>
        <w:t>LU1_Desc</w:t>
      </w:r>
    </w:p>
    <w:p w14:paraId="4C708F0C" w14:textId="77777777" w:rsidR="00C932E1" w:rsidRPr="0062100D" w:rsidRDefault="00C932E1" w:rsidP="00C932E1">
      <w:pPr>
        <w:pStyle w:val="condessed"/>
        <w:spacing w:before="240" w:after="0" w:line="288" w:lineRule="atLeast"/>
        <w:rPr>
          <w:rFonts w:asciiTheme="minorHAnsi" w:hAnsiTheme="minorHAnsi"/>
        </w:rPr>
      </w:pPr>
      <w:r w:rsidRPr="0062100D">
        <w:rPr>
          <w:rFonts w:asciiTheme="minorHAnsi" w:hAnsiTheme="minorHAnsi"/>
        </w:rPr>
        <w:t xml:space="preserve">LC corresponds to the LC1 field of the Excel file; LU corresponds to the LU1 field of the Excel file; LC0_Desc is a description of the main group of Land Cover with following </w:t>
      </w:r>
      <w:r w:rsidR="00601133">
        <w:rPr>
          <w:rFonts w:asciiTheme="minorHAnsi" w:hAnsiTheme="minorHAnsi"/>
        </w:rPr>
        <w:t xml:space="preserve">possible </w:t>
      </w:r>
      <w:r w:rsidRPr="0062100D">
        <w:rPr>
          <w:rFonts w:asciiTheme="minorHAnsi" w:hAnsiTheme="minorHAnsi"/>
        </w:rPr>
        <w:t>classes:</w:t>
      </w:r>
    </w:p>
    <w:p w14:paraId="152CA8A3" w14:textId="77777777" w:rsidR="00C932E1" w:rsidRPr="0062100D" w:rsidRDefault="00C932E1" w:rsidP="00D57A02">
      <w:pPr>
        <w:pStyle w:val="condessed"/>
        <w:spacing w:before="0" w:beforeAutospacing="0" w:after="0" w:afterAutospacing="0" w:line="288" w:lineRule="atLeast"/>
        <w:ind w:left="720"/>
        <w:rPr>
          <w:rFonts w:asciiTheme="minorHAnsi" w:hAnsiTheme="minorHAnsi"/>
        </w:rPr>
      </w:pPr>
      <w:r w:rsidRPr="0062100D">
        <w:rPr>
          <w:rFonts w:asciiTheme="minorHAnsi" w:hAnsiTheme="minorHAnsi"/>
        </w:rPr>
        <w:t>(A00) artificial land</w:t>
      </w:r>
    </w:p>
    <w:p w14:paraId="6D4E308E" w14:textId="77777777" w:rsidR="00C932E1" w:rsidRPr="0062100D" w:rsidRDefault="00C932E1" w:rsidP="00D57A02">
      <w:pPr>
        <w:pStyle w:val="condessed"/>
        <w:spacing w:before="0" w:beforeAutospacing="0" w:after="0" w:afterAutospacing="0"/>
        <w:ind w:left="720"/>
        <w:rPr>
          <w:rFonts w:asciiTheme="minorHAnsi" w:hAnsiTheme="minorHAnsi"/>
        </w:rPr>
      </w:pPr>
      <w:r w:rsidRPr="0062100D">
        <w:rPr>
          <w:rFonts w:asciiTheme="minorHAnsi" w:hAnsiTheme="minorHAnsi"/>
        </w:rPr>
        <w:t>(B00) cropland</w:t>
      </w:r>
    </w:p>
    <w:p w14:paraId="6BA9B264" w14:textId="77777777" w:rsidR="00C932E1" w:rsidRPr="0062100D" w:rsidRDefault="00C932E1" w:rsidP="00D57A02">
      <w:pPr>
        <w:pStyle w:val="condessed"/>
        <w:spacing w:before="0" w:beforeAutospacing="0" w:after="0" w:afterAutospacing="0"/>
        <w:ind w:left="720"/>
        <w:rPr>
          <w:rFonts w:asciiTheme="minorHAnsi" w:hAnsiTheme="minorHAnsi"/>
        </w:rPr>
      </w:pPr>
      <w:r w:rsidRPr="0062100D">
        <w:rPr>
          <w:rFonts w:asciiTheme="minorHAnsi" w:hAnsiTheme="minorHAnsi"/>
        </w:rPr>
        <w:lastRenderedPageBreak/>
        <w:t>(C00) woodland</w:t>
      </w:r>
    </w:p>
    <w:p w14:paraId="682D9B70" w14:textId="77777777" w:rsidR="00C932E1" w:rsidRPr="0062100D" w:rsidRDefault="00C932E1" w:rsidP="00D57A02">
      <w:pPr>
        <w:pStyle w:val="condessed"/>
        <w:spacing w:before="0" w:beforeAutospacing="0" w:after="0" w:afterAutospacing="0"/>
        <w:ind w:left="720"/>
        <w:rPr>
          <w:rFonts w:asciiTheme="minorHAnsi" w:hAnsiTheme="minorHAnsi"/>
          <w:lang w:val="nb-NO"/>
        </w:rPr>
      </w:pPr>
      <w:r w:rsidRPr="0062100D">
        <w:rPr>
          <w:rFonts w:asciiTheme="minorHAnsi" w:hAnsiTheme="minorHAnsi"/>
          <w:lang w:val="nb-NO"/>
        </w:rPr>
        <w:t>(D00) shrubland</w:t>
      </w:r>
    </w:p>
    <w:p w14:paraId="38B1144B" w14:textId="77777777" w:rsidR="00C932E1" w:rsidRPr="0062100D" w:rsidRDefault="00C932E1" w:rsidP="00D57A02">
      <w:pPr>
        <w:pStyle w:val="condessed"/>
        <w:spacing w:before="0" w:beforeAutospacing="0" w:after="0" w:afterAutospacing="0"/>
        <w:ind w:left="720"/>
        <w:rPr>
          <w:rFonts w:asciiTheme="minorHAnsi" w:hAnsiTheme="minorHAnsi"/>
          <w:lang w:val="nb-NO"/>
        </w:rPr>
      </w:pPr>
      <w:r w:rsidRPr="0062100D">
        <w:rPr>
          <w:rFonts w:asciiTheme="minorHAnsi" w:hAnsiTheme="minorHAnsi"/>
          <w:lang w:val="nb-NO"/>
        </w:rPr>
        <w:t>(E00) grassland</w:t>
      </w:r>
    </w:p>
    <w:p w14:paraId="7C645DB4" w14:textId="77777777" w:rsidR="00C932E1" w:rsidRPr="0062100D" w:rsidRDefault="00C932E1" w:rsidP="00D57A02">
      <w:pPr>
        <w:pStyle w:val="condessed"/>
        <w:spacing w:before="0" w:beforeAutospacing="0" w:after="0" w:afterAutospacing="0"/>
        <w:ind w:left="720"/>
        <w:rPr>
          <w:rFonts w:asciiTheme="minorHAnsi" w:hAnsiTheme="minorHAnsi"/>
          <w:lang w:val="nb-NO"/>
        </w:rPr>
      </w:pPr>
      <w:r w:rsidRPr="0062100D">
        <w:rPr>
          <w:rFonts w:asciiTheme="minorHAnsi" w:hAnsiTheme="minorHAnsi"/>
          <w:lang w:val="nb-NO"/>
        </w:rPr>
        <w:t>(F00) bare land</w:t>
      </w:r>
    </w:p>
    <w:p w14:paraId="316BC824" w14:textId="77777777" w:rsidR="00C932E1" w:rsidRPr="0062100D" w:rsidRDefault="00C932E1" w:rsidP="00D57A02">
      <w:pPr>
        <w:pStyle w:val="condessed"/>
        <w:spacing w:before="0" w:beforeAutospacing="0" w:after="0" w:afterAutospacing="0"/>
        <w:ind w:left="720"/>
        <w:rPr>
          <w:rFonts w:asciiTheme="minorHAnsi" w:hAnsiTheme="minorHAnsi"/>
        </w:rPr>
      </w:pPr>
      <w:r w:rsidRPr="0062100D">
        <w:rPr>
          <w:rFonts w:asciiTheme="minorHAnsi" w:hAnsiTheme="minorHAnsi"/>
        </w:rPr>
        <w:t>(G00) water</w:t>
      </w:r>
    </w:p>
    <w:p w14:paraId="0EE9C966" w14:textId="77777777" w:rsidR="00C932E1" w:rsidRPr="0062100D" w:rsidRDefault="00C932E1" w:rsidP="00D57A02">
      <w:pPr>
        <w:pStyle w:val="condessed"/>
        <w:spacing w:before="0" w:beforeAutospacing="0" w:after="0" w:afterAutospacing="0"/>
        <w:ind w:firstLine="720"/>
        <w:rPr>
          <w:rFonts w:asciiTheme="minorHAnsi" w:hAnsiTheme="minorHAnsi"/>
        </w:rPr>
      </w:pPr>
      <w:r w:rsidRPr="0062100D">
        <w:rPr>
          <w:rFonts w:asciiTheme="minorHAnsi" w:hAnsiTheme="minorHAnsi"/>
        </w:rPr>
        <w:t>(H00) wetland</w:t>
      </w:r>
    </w:p>
    <w:p w14:paraId="39E009FF" w14:textId="77777777" w:rsidR="002906C5" w:rsidRPr="0062100D" w:rsidRDefault="0062100D" w:rsidP="009E1CD3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 w:rsidRPr="0062100D">
        <w:rPr>
          <w:rFonts w:asciiTheme="minorHAnsi" w:hAnsiTheme="minorHAnsi"/>
        </w:rPr>
        <w:t xml:space="preserve">Note that this field </w:t>
      </w:r>
      <w:r w:rsidR="00601133">
        <w:rPr>
          <w:rFonts w:asciiTheme="minorHAnsi" w:hAnsiTheme="minorHAnsi"/>
        </w:rPr>
        <w:t>is</w:t>
      </w:r>
      <w:r w:rsidRPr="0062100D">
        <w:rPr>
          <w:rFonts w:asciiTheme="minorHAnsi" w:hAnsiTheme="minorHAnsi"/>
        </w:rPr>
        <w:t xml:space="preserve"> not </w:t>
      </w:r>
      <w:r w:rsidR="00601133">
        <w:rPr>
          <w:rFonts w:asciiTheme="minorHAnsi" w:hAnsiTheme="minorHAnsi"/>
        </w:rPr>
        <w:t xml:space="preserve">actually </w:t>
      </w:r>
      <w:r w:rsidRPr="0062100D">
        <w:rPr>
          <w:rFonts w:asciiTheme="minorHAnsi" w:hAnsiTheme="minorHAnsi"/>
        </w:rPr>
        <w:t>part of the Eurostat microdata.</w:t>
      </w:r>
    </w:p>
    <w:p w14:paraId="62EC6176" w14:textId="77777777" w:rsidR="002C0799" w:rsidRPr="002B0297" w:rsidRDefault="002C0799" w:rsidP="00690F1A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color w:val="FF0000"/>
        </w:rPr>
      </w:pPr>
    </w:p>
    <w:sectPr w:rsidR="002C0799" w:rsidRPr="002B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2DB8"/>
    <w:multiLevelType w:val="multilevel"/>
    <w:tmpl w:val="30A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1670"/>
    <w:multiLevelType w:val="multilevel"/>
    <w:tmpl w:val="DC8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005B"/>
    <w:multiLevelType w:val="hybridMultilevel"/>
    <w:tmpl w:val="7E4EF002"/>
    <w:lvl w:ilvl="0" w:tplc="B454A98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73F2"/>
    <w:multiLevelType w:val="hybridMultilevel"/>
    <w:tmpl w:val="D170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152C0"/>
    <w:multiLevelType w:val="hybridMultilevel"/>
    <w:tmpl w:val="B2DA0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825F9"/>
    <w:multiLevelType w:val="hybridMultilevel"/>
    <w:tmpl w:val="FC7A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D29F0"/>
    <w:multiLevelType w:val="hybridMultilevel"/>
    <w:tmpl w:val="11A42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84D38"/>
    <w:multiLevelType w:val="hybridMultilevel"/>
    <w:tmpl w:val="33C43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7D4153"/>
    <w:rsid w:val="000075BD"/>
    <w:rsid w:val="00010062"/>
    <w:rsid w:val="00020689"/>
    <w:rsid w:val="0003711B"/>
    <w:rsid w:val="00060892"/>
    <w:rsid w:val="00075AA1"/>
    <w:rsid w:val="00094A6F"/>
    <w:rsid w:val="000A3581"/>
    <w:rsid w:val="000E5670"/>
    <w:rsid w:val="000E59EA"/>
    <w:rsid w:val="001464C2"/>
    <w:rsid w:val="0016237E"/>
    <w:rsid w:val="001C02BA"/>
    <w:rsid w:val="00203F1C"/>
    <w:rsid w:val="00212433"/>
    <w:rsid w:val="00230400"/>
    <w:rsid w:val="00243202"/>
    <w:rsid w:val="00245F09"/>
    <w:rsid w:val="00260775"/>
    <w:rsid w:val="00275A76"/>
    <w:rsid w:val="0028767C"/>
    <w:rsid w:val="002906C5"/>
    <w:rsid w:val="002A7610"/>
    <w:rsid w:val="002B0297"/>
    <w:rsid w:val="002B7EA8"/>
    <w:rsid w:val="002C0799"/>
    <w:rsid w:val="00304171"/>
    <w:rsid w:val="00315111"/>
    <w:rsid w:val="003260B6"/>
    <w:rsid w:val="0032688D"/>
    <w:rsid w:val="00371FBC"/>
    <w:rsid w:val="003938CD"/>
    <w:rsid w:val="003B2DA1"/>
    <w:rsid w:val="004537A0"/>
    <w:rsid w:val="00473051"/>
    <w:rsid w:val="004B48F0"/>
    <w:rsid w:val="004D191A"/>
    <w:rsid w:val="0052304E"/>
    <w:rsid w:val="00524848"/>
    <w:rsid w:val="00565B2F"/>
    <w:rsid w:val="00595DBE"/>
    <w:rsid w:val="005A1E46"/>
    <w:rsid w:val="005A4F22"/>
    <w:rsid w:val="005B4D49"/>
    <w:rsid w:val="005D3970"/>
    <w:rsid w:val="00601133"/>
    <w:rsid w:val="0062100D"/>
    <w:rsid w:val="006767EA"/>
    <w:rsid w:val="00690F1A"/>
    <w:rsid w:val="00697256"/>
    <w:rsid w:val="006D03F3"/>
    <w:rsid w:val="0072665F"/>
    <w:rsid w:val="007660FA"/>
    <w:rsid w:val="0077222E"/>
    <w:rsid w:val="007C122E"/>
    <w:rsid w:val="007D1B91"/>
    <w:rsid w:val="007D4153"/>
    <w:rsid w:val="007E24C8"/>
    <w:rsid w:val="007F4F97"/>
    <w:rsid w:val="00814010"/>
    <w:rsid w:val="0082275A"/>
    <w:rsid w:val="008229FA"/>
    <w:rsid w:val="00837545"/>
    <w:rsid w:val="008928DC"/>
    <w:rsid w:val="008A3C7A"/>
    <w:rsid w:val="008E2E31"/>
    <w:rsid w:val="008E40C9"/>
    <w:rsid w:val="00954D0B"/>
    <w:rsid w:val="00994B50"/>
    <w:rsid w:val="009E1CD3"/>
    <w:rsid w:val="00A03412"/>
    <w:rsid w:val="00A06FEE"/>
    <w:rsid w:val="00A22CE0"/>
    <w:rsid w:val="00A26490"/>
    <w:rsid w:val="00A85CD3"/>
    <w:rsid w:val="00A93BC1"/>
    <w:rsid w:val="00AE22EF"/>
    <w:rsid w:val="00B22C4B"/>
    <w:rsid w:val="00B5665A"/>
    <w:rsid w:val="00B83310"/>
    <w:rsid w:val="00BA3DCF"/>
    <w:rsid w:val="00BD2828"/>
    <w:rsid w:val="00BD37B7"/>
    <w:rsid w:val="00BD7903"/>
    <w:rsid w:val="00C91CD8"/>
    <w:rsid w:val="00C932E1"/>
    <w:rsid w:val="00CC4AEA"/>
    <w:rsid w:val="00D03558"/>
    <w:rsid w:val="00D14EEA"/>
    <w:rsid w:val="00D21CD8"/>
    <w:rsid w:val="00D37FB8"/>
    <w:rsid w:val="00D4301B"/>
    <w:rsid w:val="00D57A02"/>
    <w:rsid w:val="00D76B16"/>
    <w:rsid w:val="00D81B89"/>
    <w:rsid w:val="00DA7985"/>
    <w:rsid w:val="00DF1629"/>
    <w:rsid w:val="00E15AEB"/>
    <w:rsid w:val="00E91633"/>
    <w:rsid w:val="00E93C52"/>
    <w:rsid w:val="00F22013"/>
    <w:rsid w:val="00F36100"/>
    <w:rsid w:val="00F74799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256B"/>
  <w15:docId w15:val="{D4457DAD-7322-4364-8FF3-FFB057F4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ssed">
    <w:name w:val="condessed"/>
    <w:basedOn w:val="Normal"/>
    <w:rsid w:val="007C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12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C122E"/>
  </w:style>
  <w:style w:type="character" w:styleId="Strong">
    <w:name w:val="Strong"/>
    <w:basedOn w:val="DefaultParagraphFont"/>
    <w:uiPriority w:val="22"/>
    <w:qFormat/>
    <w:rsid w:val="007C12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2C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629"/>
    <w:pPr>
      <w:ind w:left="720"/>
      <w:contextualSpacing/>
    </w:pPr>
  </w:style>
  <w:style w:type="paragraph" w:customStyle="1" w:styleId="JRCText">
    <w:name w:val="JRC_Text"/>
    <w:basedOn w:val="Normal"/>
    <w:qFormat/>
    <w:rsid w:val="004537A0"/>
    <w:pPr>
      <w:spacing w:before="120" w:after="120" w:line="240" w:lineRule="auto"/>
      <w:jc w:val="both"/>
    </w:pPr>
    <w:rPr>
      <w:rFonts w:ascii="Verdana" w:eastAsia="Calibri" w:hAnsi="Verdana" w:cs="Times New Roman"/>
      <w:sz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65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2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.europa.eu/eurostat/documents/205002/6786255/WebCsv_RecordDescriptor2016100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eurostat/web/lucas/data/primary-data/2015" TargetMode="External"/><Relationship Id="rId5" Type="http://schemas.openxmlformats.org/officeDocument/2006/relationships/hyperlink" Target="https://esdac.jrc.ec.europa.e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Van Liedekerke</dc:creator>
  <cp:keywords/>
  <dc:description/>
  <cp:lastModifiedBy>Marc VAN LIEDEKERKE</cp:lastModifiedBy>
  <cp:revision>5</cp:revision>
  <dcterms:created xsi:type="dcterms:W3CDTF">2020-08-07T09:52:00Z</dcterms:created>
  <dcterms:modified xsi:type="dcterms:W3CDTF">2020-10-06T14:19:00Z</dcterms:modified>
</cp:coreProperties>
</file>