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sectPr>
      <w:pgSz w:h="16847" w:w="11904"/>
      <w:pgMar w:bottom="1440" w:gutter="0" w:left="1440" w:right="1440" w:top="1440"/>
      <w:cols w:space="720"/>
      <w:docGrid w:linePitch="360"/>
    </w:sectPr>
    <w:bookmarkStart w:id="0" w:name="nMTgGCGGAqESAYue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nMTgGCGGAqESAYue"/>
      <w:r>
        <w:t>U11 เข้าสู่ระบบ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MTgGCGGAqESAYue" w:history="1">
              <w:r>
                <w:t>U11 เข้าสู่ระบบ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สมาชิก</w:t>
            </w:r>
          </w:p>
        </w:tc>
      </w:tr>
    </w:tbl>
    <w:p/>
    <w:p>
      <w:pPr>
        <w:pStyle w:val="Heading4"/>
      </w:pPr>
      <w:r>
        <w:t>Full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1.ชื่อผุ้ใช้งาน หรือ อีเมล์</w:t>
            </w:r>
            <w:r>
              <w:t xml:space="preserve">
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2.รหัสผ่าน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Details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Post-conditions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การตรวจสอบการเข้าสู่ระบบ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KEN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พ.ย. 2565 16:54:17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 ID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U11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สมาชิก</w:t>
            </w:r>
            <w:r>
              <w:t xml:space="preserve">
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