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y4PAGCGGAqESAVzI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y4PAGCGGAqESAVzI"/>
      <w:r>
        <w:t>U4 ลงทะเบียนหลักสูตร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4PAGCGGAqESAVzI" w:history="1">
              <w:r>
                <w:t>U4 ลงทะเบียนหลักสูตร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สมาชิก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Post-conditions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สมาชิกลงได้ทะเบียนครั้งเดียว 2 ชำระเงิน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 พ.ย. 2565 16:39:46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ในกรณีนี้ สมาชิกสามารถลงทะเบียนเรียนคอร์สต่างๆได้ๆ และ สามารถลงเรียนได้ครั้งเดียว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U4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สมาชิก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