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43B6D14">
      <w:pPr>
        <w:pStyle w:val="9"/>
        <w:rPr>
          <w:rFonts w:hint="eastAsia" w:eastAsia="等线"/>
          <w:lang w:val="en-US" w:eastAsia="zh-CN"/>
        </w:rPr>
      </w:pPr>
      <w:r>
        <w:t>产业网链本体模型</w:t>
      </w:r>
      <w:r>
        <w:rPr>
          <w:rFonts w:hint="eastAsia"/>
          <w:lang w:val="en-US" w:eastAsia="zh-CN"/>
        </w:rPr>
        <w:t>设计</w:t>
      </w:r>
    </w:p>
    <w:p w14:paraId="61C9BBF2">
      <w:pPr>
        <w:pStyle w:val="2"/>
      </w:pPr>
      <w:r>
        <w:t>产业网链本体模型设计文档</w:t>
      </w:r>
    </w:p>
    <w:p w14:paraId="11FCB2FD">
      <w:pPr>
        <w:pStyle w:val="3"/>
      </w:pPr>
      <w:r>
        <w:t>文档信息</w:t>
      </w:r>
    </w:p>
    <w:p w14:paraId="19FD1F70">
      <w:pPr>
        <w:pStyle w:val="16"/>
      </w:pPr>
    </w:p>
    <w:tbl>
      <w:tblPr>
        <w:tblStyle w:val="10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760"/>
        <w:gridCol w:w="2760"/>
      </w:tblGrid>
      <w:tr w14:paraId="7B31155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70502B0">
            <w:pPr>
              <w:pStyle w:val="16"/>
            </w:pPr>
            <w:r>
              <w:t>项目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507246E">
            <w:pPr>
              <w:pStyle w:val="16"/>
            </w:pPr>
            <w:r>
              <w:t>内容</w:t>
            </w:r>
          </w:p>
        </w:tc>
      </w:tr>
      <w:tr w14:paraId="0DF3F59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CD78456">
            <w:pPr>
              <w:pStyle w:val="16"/>
            </w:pPr>
            <w:r>
              <w:t>文档名称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6B99BFA">
            <w:pPr>
              <w:pStyle w:val="16"/>
            </w:pPr>
            <w:r>
              <w:t>产业网链本体模型设计文档</w:t>
            </w:r>
          </w:p>
        </w:tc>
      </w:tr>
      <w:tr w14:paraId="3166571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672C95C">
            <w:pPr>
              <w:pStyle w:val="16"/>
            </w:pPr>
            <w:r>
              <w:t>版本号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D5C38A3">
            <w:pPr>
              <w:pStyle w:val="16"/>
            </w:pPr>
            <w:r>
              <w:t>V1.0</w:t>
            </w:r>
          </w:p>
        </w:tc>
      </w:tr>
      <w:tr w14:paraId="48EFF72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97A2A00">
            <w:pPr>
              <w:pStyle w:val="16"/>
            </w:pPr>
            <w:r>
              <w:t>适用场景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02D2A7E">
            <w:pPr>
              <w:pStyle w:val="16"/>
            </w:pPr>
            <w:r>
              <w:t>产业链知识图谱构建、产业决策智能平台开发、强链补链拓链分析</w:t>
            </w:r>
          </w:p>
        </w:tc>
      </w:tr>
      <w:tr w14:paraId="6905382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716AFFE">
            <w:pPr>
              <w:pStyle w:val="16"/>
            </w:pPr>
            <w:r>
              <w:t>核心目标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29C1DD2">
            <w:pPr>
              <w:pStyle w:val="16"/>
            </w:pPr>
            <w:r>
              <w:t>统一产业网链知识描述范式，支撑多源异构数据的语义融合与推理决策</w:t>
            </w:r>
          </w:p>
        </w:tc>
      </w:tr>
    </w:tbl>
    <w:p w14:paraId="1D158B60">
      <w:pPr>
        <w:pStyle w:val="3"/>
      </w:pPr>
      <w:r>
        <w:t>一、模型整体架构</w:t>
      </w:r>
    </w:p>
    <w:p w14:paraId="6FCF1FDF">
      <w:pPr>
        <w:pStyle w:val="16"/>
      </w:pPr>
      <w:r>
        <w:t xml:space="preserve">本模型采用 </w:t>
      </w:r>
      <w:r>
        <w:rPr>
          <w:b/>
          <w:bCs/>
        </w:rPr>
        <w:t>“1层核心本体 + 6大子体系”</w:t>
      </w:r>
      <w:r>
        <w:t xml:space="preserve"> 的分层架构，顶层核心本体锚定语义基准与价值逻辑，下层子体系为核心本体的实例化与细化，各模块协同支撑产业链全场景决策需求。</w:t>
      </w:r>
    </w:p>
    <w:p w14:paraId="06E34550">
      <w:pPr>
        <w:pStyle w:val="16"/>
      </w:pPr>
    </w:p>
    <w:tbl>
      <w:tblPr>
        <w:tblStyle w:val="10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9266"/>
      </w:tblGrid>
      <w:tr w14:paraId="3C79B1A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5000" w:type="pct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shd w:val="clear" w:color="auto" w:fill="F5F6F7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26E8BF8">
            <w:pPr>
              <w:pStyle w:val="16"/>
            </w:pPr>
            <w:r>
              <w:t>产业网链本体模型</w:t>
            </w:r>
          </w:p>
          <w:p w14:paraId="7117C0C3">
            <w:pPr>
              <w:pStyle w:val="16"/>
            </w:pPr>
            <w:r>
              <w:t>└── 顶层：核心本体（概念参考模型）</w:t>
            </w:r>
          </w:p>
          <w:p w14:paraId="73AF3C21">
            <w:pPr>
              <w:pStyle w:val="16"/>
            </w:pPr>
            <w:r>
              <w:t xml:space="preserve">    ├── 子体系1：概念体系（产业+产品+技术统一分类维度）</w:t>
            </w:r>
          </w:p>
          <w:p w14:paraId="1DE9C48F">
            <w:pPr>
              <w:pStyle w:val="16"/>
              <w:rPr>
                <w:rFonts w:hint="eastAsia" w:eastAsia="等线"/>
                <w:lang w:eastAsia="zh-CN"/>
              </w:rPr>
            </w:pPr>
            <w:r>
              <w:t xml:space="preserve">    ├── 子体系2：实体</w:t>
            </w:r>
            <w:r>
              <w:rPr>
                <w:rFonts w:hint="eastAsia"/>
                <w:lang w:val="en-US" w:eastAsia="zh-CN"/>
              </w:rPr>
              <w:t>类型</w:t>
            </w:r>
            <w:r>
              <w:t>体系（产业主体实体+产业要素实体）</w:t>
            </w:r>
            <w:r>
              <w:rPr>
                <w:rFonts w:hint="eastAsia"/>
                <w:lang w:eastAsia="zh-CN"/>
              </w:rPr>
              <w:t>（</w:t>
            </w:r>
            <w:r>
              <w:rPr>
                <w:rFonts w:hint="eastAsia"/>
                <w:lang w:val="en-US" w:eastAsia="zh-CN"/>
              </w:rPr>
              <w:t>与实例化后的实体相区别</w:t>
            </w:r>
            <w:r>
              <w:rPr>
                <w:rFonts w:hint="eastAsia"/>
                <w:lang w:eastAsia="zh-CN"/>
              </w:rPr>
              <w:t>）</w:t>
            </w:r>
          </w:p>
          <w:p w14:paraId="68AC9EF9">
            <w:pPr>
              <w:pStyle w:val="16"/>
            </w:pPr>
            <w:r>
              <w:t xml:space="preserve">    ├── 子体系3：关系</w:t>
            </w:r>
            <w:r>
              <w:rPr>
                <w:rFonts w:hint="eastAsia"/>
                <w:lang w:val="en-US" w:eastAsia="zh-CN"/>
              </w:rPr>
              <w:t>类型</w:t>
            </w:r>
            <w:r>
              <w:t>体系</w:t>
            </w:r>
          </w:p>
          <w:p w14:paraId="6A399FFA">
            <w:pPr>
              <w:pStyle w:val="16"/>
            </w:pPr>
            <w:r>
              <w:t xml:space="preserve">    ├── 子体系4：事件</w:t>
            </w:r>
            <w:r>
              <w:rPr>
                <w:rFonts w:hint="eastAsia"/>
                <w:lang w:val="en-US" w:eastAsia="zh-CN"/>
              </w:rPr>
              <w:t>类型</w:t>
            </w:r>
            <w:r>
              <w:t>体系</w:t>
            </w:r>
          </w:p>
          <w:p w14:paraId="0E8CBE5D">
            <w:pPr>
              <w:pStyle w:val="16"/>
            </w:pPr>
            <w:r>
              <w:t xml:space="preserve">    ├── 子体系5：文档</w:t>
            </w:r>
            <w:r>
              <w:rPr>
                <w:rFonts w:hint="eastAsia"/>
                <w:lang w:val="en-US" w:eastAsia="zh-CN"/>
              </w:rPr>
              <w:t>类型</w:t>
            </w:r>
            <w:r>
              <w:t>体系（研报/专利/资讯分类）</w:t>
            </w:r>
          </w:p>
          <w:p w14:paraId="33CAE8A9">
            <w:pPr>
              <w:pStyle w:val="16"/>
            </w:pPr>
            <w:r>
              <w:t xml:space="preserve">    └── 子体系6：</w:t>
            </w:r>
            <w:r>
              <w:rPr>
                <w:rFonts w:hint="eastAsia"/>
                <w:lang w:val="en-US" w:eastAsia="zh-CN"/>
              </w:rPr>
              <w:t>事实</w:t>
            </w:r>
            <w:r>
              <w:t>情境体系</w:t>
            </w:r>
          </w:p>
        </w:tc>
      </w:tr>
    </w:tbl>
    <w:p w14:paraId="2CC99AF6">
      <w:pPr>
        <w:pStyle w:val="3"/>
      </w:pPr>
      <w:r>
        <w:t>二、顶层：核心本体（概念参考模型）</w:t>
      </w:r>
    </w:p>
    <w:p w14:paraId="301C8E19">
      <w:pPr>
        <w:pStyle w:val="4"/>
      </w:pPr>
      <w:r>
        <w:t>1. 定义</w:t>
      </w:r>
    </w:p>
    <w:p w14:paraId="4AFD1FFC">
      <w:pPr>
        <w:pStyle w:val="16"/>
        <w:rPr>
          <w:rFonts w:hint="default" w:eastAsia="等线"/>
          <w:highlight w:val="yellow"/>
          <w:lang w:val="en-US" w:eastAsia="zh-CN"/>
        </w:rPr>
      </w:pPr>
      <w:r>
        <w:rPr>
          <w:highlight w:val="yellow"/>
        </w:rPr>
        <w:t>产业网链核心本体是</w:t>
      </w:r>
      <w:r>
        <w:rPr>
          <w:b/>
          <w:bCs/>
          <w:highlight w:val="yellow"/>
        </w:rPr>
        <w:t>以产业价值流转为核心逻辑，以“产业-产品-技术”统一分类为基准，定义产业链知识的标准化语义框架</w:t>
      </w:r>
      <w:r>
        <w:rPr>
          <w:highlight w:val="yellow"/>
        </w:rPr>
        <w:t>，是所有子体系的顶层抽象与约束基准，解决多源数据的语义统一与知识关联问题。</w:t>
      </w:r>
      <w:r>
        <w:rPr>
          <w:rFonts w:hint="eastAsia"/>
          <w:highlight w:val="yellow"/>
          <w:lang w:val="en-US" w:eastAsia="zh-CN"/>
        </w:rPr>
        <w:t xml:space="preserve"> 产业网链、cidoc、通用模型、产业分类体系（types）、领域本体、appellations（ID）</w:t>
      </w:r>
    </w:p>
    <w:p w14:paraId="1E1730CA">
      <w:pPr>
        <w:pStyle w:val="16"/>
        <w:rPr>
          <w:rFonts w:hint="eastAsia" w:eastAsia="等线"/>
          <w:lang w:eastAsia="zh-CN"/>
        </w:rPr>
      </w:pPr>
      <w:r>
        <w:rPr>
          <w:rFonts w:hint="eastAsia" w:eastAsia="等线"/>
          <w:lang w:eastAsia="zh-CN"/>
        </w:rPr>
        <w:drawing>
          <wp:inline distT="0" distB="0" distL="114300" distR="114300">
            <wp:extent cx="5726430" cy="3181350"/>
            <wp:effectExtent l="0" t="0" r="3810" b="3810"/>
            <wp:docPr id="1" name="图片 1" descr="ad6f309ad74e495da3f8e59e84185e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 descr="ad6f309ad74e495da3f8e59e84185e14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26430" cy="3181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03BCEE">
      <w:pPr>
        <w:pStyle w:val="16"/>
      </w:pPr>
    </w:p>
    <w:p w14:paraId="2154E7B8">
      <w:pPr>
        <w:pStyle w:val="4"/>
      </w:pPr>
      <w:r>
        <w:t>2. 核心维度</w:t>
      </w:r>
    </w:p>
    <w:p w14:paraId="43603FDC">
      <w:pPr>
        <w:pStyle w:val="16"/>
      </w:pPr>
    </w:p>
    <w:tbl>
      <w:tblPr>
        <w:tblStyle w:val="10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760"/>
        <w:gridCol w:w="2760"/>
        <w:gridCol w:w="2760"/>
      </w:tblGrid>
      <w:tr w14:paraId="6B43A12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E960C05">
            <w:pPr>
              <w:pStyle w:val="16"/>
            </w:pPr>
            <w:r>
              <w:t>核心维度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76282DF">
            <w:pPr>
              <w:pStyle w:val="16"/>
            </w:pPr>
            <w:r>
              <w:t>定义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0CFFFFF">
            <w:pPr>
              <w:pStyle w:val="16"/>
            </w:pPr>
            <w:r>
              <w:t>与子体系的映射关系</w:t>
            </w:r>
          </w:p>
        </w:tc>
      </w:tr>
      <w:tr w14:paraId="2B9267D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9E262E4">
            <w:pPr>
              <w:pStyle w:val="16"/>
            </w:pPr>
            <w:r>
              <w:rPr>
                <w:highlight w:val="yellow"/>
              </w:rPr>
              <w:t>产业</w:t>
            </w:r>
            <w:r>
              <w:rPr>
                <w:rFonts w:hint="eastAsia"/>
                <w:highlight w:val="yellow"/>
                <w:lang w:val="en-US" w:eastAsia="zh-CN"/>
              </w:rPr>
              <w:t>概念</w:t>
            </w:r>
            <w:r>
              <w:rPr>
                <w:highlight w:val="yellow"/>
              </w:rPr>
              <w:t>维度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BAF567C">
            <w:pPr>
              <w:pStyle w:val="16"/>
            </w:pPr>
            <w:r>
              <w:t>产业链知识的核心分类基准，覆盖产业层级、产品谱系、技术路线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0E2A47D">
            <w:pPr>
              <w:pStyle w:val="16"/>
            </w:pPr>
            <w:r>
              <w:t>映射到「概念体系」</w:t>
            </w:r>
          </w:p>
        </w:tc>
      </w:tr>
      <w:tr w14:paraId="37D98E3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F69DE96">
            <w:pPr>
              <w:pStyle w:val="16"/>
              <w:rPr>
                <w:rFonts w:hint="eastAsia" w:eastAsia="等线"/>
                <w:lang w:eastAsia="zh-CN"/>
              </w:rPr>
            </w:pPr>
            <w:r>
              <w:t>产业主体维度</w:t>
            </w:r>
            <w:r>
              <w:rPr>
                <w:rFonts w:hint="eastAsia"/>
                <w:lang w:eastAsia="zh-CN"/>
              </w:rPr>
              <w:t>（</w:t>
            </w:r>
            <w:r>
              <w:rPr>
                <w:rFonts w:hint="eastAsia"/>
                <w:lang w:val="en-US" w:eastAsia="zh-CN"/>
              </w:rPr>
              <w:t>actor</w:t>
            </w:r>
            <w:r>
              <w:rPr>
                <w:rFonts w:hint="eastAsia"/>
                <w:lang w:eastAsia="zh-CN"/>
              </w:rPr>
              <w:t>）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5970D71">
            <w:pPr>
              <w:pStyle w:val="16"/>
            </w:pPr>
            <w:r>
              <w:t>参与产业链运行的各类组织/机构，是价值创造的载体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CD2E891">
            <w:pPr>
              <w:pStyle w:val="16"/>
            </w:pPr>
            <w:r>
              <w:t>映射到「实体体系」的「产业主体实体」</w:t>
            </w:r>
          </w:p>
        </w:tc>
      </w:tr>
      <w:tr w14:paraId="42EFEAC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28740FE">
            <w:pPr>
              <w:pStyle w:val="16"/>
              <w:rPr>
                <w:rFonts w:hint="eastAsia" w:eastAsia="等线"/>
                <w:lang w:val="en-US" w:eastAsia="zh-CN"/>
              </w:rPr>
            </w:pPr>
            <w:r>
              <w:t>产业要素维度</w:t>
            </w:r>
            <w:r>
              <w:rPr>
                <w:rFonts w:hint="eastAsia"/>
                <w:lang w:eastAsia="zh-CN"/>
              </w:rPr>
              <w:t>（</w:t>
            </w:r>
            <w:r>
              <w:rPr>
                <w:rFonts w:hint="eastAsia"/>
                <w:lang w:val="en-US" w:eastAsia="zh-CN"/>
              </w:rPr>
              <w:t>object</w:t>
            </w:r>
            <w:r>
              <w:rPr>
                <w:rFonts w:hint="eastAsia"/>
                <w:lang w:eastAsia="zh-CN"/>
              </w:rPr>
              <w:t>）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53D4CB7">
            <w:pPr>
              <w:pStyle w:val="16"/>
            </w:pPr>
            <w:r>
              <w:t>支撑产业链运转的有形/无形资源，是价值流转的对象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D187DC1">
            <w:pPr>
              <w:pStyle w:val="16"/>
            </w:pPr>
            <w:r>
              <w:t>映射到「实体体系」的「产业要素实体」</w:t>
            </w:r>
          </w:p>
        </w:tc>
      </w:tr>
      <w:tr w14:paraId="1FC1393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A7CBAA7">
            <w:pPr>
              <w:pStyle w:val="16"/>
            </w:pPr>
            <w:r>
              <w:t>产业事件维度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A9BA57E">
            <w:pPr>
              <w:pStyle w:val="16"/>
            </w:pPr>
            <w:r>
              <w:t>触发产业链动态变化的行为与节点，是价值演化的动力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CF9BC76">
            <w:pPr>
              <w:pStyle w:val="16"/>
            </w:pPr>
            <w:r>
              <w:t>映射到「事件体系」</w:t>
            </w:r>
          </w:p>
        </w:tc>
      </w:tr>
      <w:tr w14:paraId="0DA260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039EB95">
            <w:pPr>
              <w:pStyle w:val="16"/>
            </w:pPr>
            <w:r>
              <w:t>知识溯源维度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6402FB6">
            <w:pPr>
              <w:pStyle w:val="16"/>
            </w:pPr>
            <w:r>
              <w:t>产业知识的来源与可信度，是价值判断的依据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E33B4BB">
            <w:pPr>
              <w:pStyle w:val="16"/>
            </w:pPr>
            <w:r>
              <w:t>映射到「文档体系」</w:t>
            </w:r>
          </w:p>
        </w:tc>
      </w:tr>
      <w:tr w14:paraId="4BACDF6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3007A0D">
            <w:pPr>
              <w:pStyle w:val="16"/>
            </w:pPr>
            <w:r>
              <w:rPr>
                <w:rFonts w:hint="eastAsia"/>
                <w:lang w:val="en-US" w:eastAsia="zh-CN"/>
              </w:rPr>
              <w:t>事实知识</w:t>
            </w:r>
            <w:r>
              <w:t>维度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6CF60BC">
            <w:pPr>
              <w:pStyle w:val="16"/>
            </w:pPr>
            <w:r>
              <w:t>知识的适用边界与场景约束，是精准推理的前提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0007395">
            <w:pPr>
              <w:pStyle w:val="16"/>
            </w:pPr>
            <w:r>
              <w:t>映射到「陈述-语句-情境融合体系」</w:t>
            </w:r>
          </w:p>
        </w:tc>
      </w:tr>
      <w:tr w14:paraId="1AAD75C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FD6FD0B">
            <w:pPr>
              <w:pStyle w:val="16"/>
              <w:rPr>
                <w:rFonts w:hint="eastAsia"/>
                <w:lang w:val="en-US" w:eastAsia="zh-CN"/>
              </w:rPr>
            </w:pP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6AF2D09">
            <w:pPr>
              <w:pStyle w:val="16"/>
            </w:pP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4C6713E">
            <w:pPr>
              <w:pStyle w:val="16"/>
            </w:pPr>
          </w:p>
        </w:tc>
      </w:tr>
    </w:tbl>
    <w:p w14:paraId="69686601">
      <w:pPr>
        <w:pStyle w:val="16"/>
        <w:rPr>
          <w:rFonts w:hint="eastAsia" w:eastAsia="等线"/>
          <w:lang w:eastAsia="zh-CN"/>
        </w:rPr>
      </w:pPr>
      <w:r>
        <w:rPr>
          <w:rFonts w:hint="eastAsia" w:eastAsia="等线"/>
          <w:lang w:eastAsia="zh-CN"/>
        </w:rPr>
        <w:drawing>
          <wp:inline distT="0" distB="0" distL="114300" distR="114300">
            <wp:extent cx="5726430" cy="3316605"/>
            <wp:effectExtent l="0" t="0" r="3810" b="5715"/>
            <wp:docPr id="2" name="图片 2" descr="f2c2aa685d714e70b08171224d9aeb2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 descr="f2c2aa685d714e70b08171224d9aeb2e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26430" cy="33166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261B61">
      <w:pPr>
        <w:outlineLvl w:val="9"/>
        <w:rPr>
          <w:rFonts w:hint="default" w:eastAsia="等线"/>
          <w:b w:val="0"/>
          <w:bCs w:val="0"/>
          <w:sz w:val="22"/>
          <w:szCs w:val="22"/>
          <w:lang w:val="en-US" w:eastAsia="zh-CN"/>
        </w:rPr>
      </w:pPr>
      <w:r>
        <w:rPr>
          <w:rFonts w:hint="eastAsia"/>
          <w:b w:val="0"/>
          <w:bCs w:val="0"/>
          <w:sz w:val="22"/>
          <w:szCs w:val="22"/>
          <w:lang w:val="en-US" w:eastAsia="zh-CN"/>
        </w:rPr>
        <w:t>核心本体-&gt;</w:t>
      </w:r>
    </w:p>
    <w:p w14:paraId="0AD078D2">
      <w:pPr>
        <w:pStyle w:val="4"/>
      </w:pPr>
      <w:r>
        <w:rPr>
          <w:rFonts w:hint="eastAsia"/>
          <w:lang w:val="en-US" w:eastAsia="zh-CN"/>
        </w:rPr>
        <w:t>3</w:t>
      </w:r>
      <w:r>
        <w:t>. 核心约束规则</w:t>
      </w:r>
    </w:p>
    <w:p w14:paraId="6B4480A8">
      <w:pPr>
        <w:pStyle w:val="16"/>
        <w:numPr>
          <w:ilvl w:val="0"/>
          <w:numId w:val="1"/>
        </w:numPr>
        <w:ind w:left="425" w:leftChars="0" w:hanging="425" w:firstLineChars="0"/>
      </w:pPr>
      <w:r>
        <w:t>所有子体系的概念、实体、关系必须遵循“产业-产品-技术”统一分类标准，无语义冲突；</w:t>
      </w:r>
    </w:p>
    <w:p w14:paraId="4FDCD489">
      <w:pPr>
        <w:pStyle w:val="16"/>
        <w:numPr>
          <w:ilvl w:val="0"/>
          <w:numId w:val="1"/>
        </w:numPr>
        <w:ind w:left="425" w:leftChars="0" w:hanging="425" w:firstLineChars="0"/>
      </w:pPr>
      <w:r>
        <w:t>实体体系严格区分产业主体与产业要素，保持“主体-要素”的价值流转逻辑；</w:t>
      </w:r>
    </w:p>
    <w:p w14:paraId="3F57CE7D">
      <w:pPr>
        <w:pStyle w:val="16"/>
        <w:numPr>
          <w:ilvl w:val="0"/>
          <w:numId w:val="1"/>
        </w:numPr>
        <w:ind w:left="425" w:leftChars="0" w:hanging="425" w:firstLineChars="0"/>
      </w:pPr>
      <w:r>
        <w:t>所有事实性陈述必须绑定文档来源与情境约束，确保可追溯、可验证。</w:t>
      </w:r>
    </w:p>
    <w:p w14:paraId="0926D977">
      <w:pPr>
        <w:pStyle w:val="3"/>
      </w:pPr>
      <w:r>
        <w:t>三、下层：六大子体系设计</w:t>
      </w:r>
    </w:p>
    <w:p w14:paraId="21C7C76E">
      <w:pPr>
        <w:pStyle w:val="4"/>
      </w:pPr>
      <w:r>
        <w:t>1. 概念体系（核心：产业-产品-技术统一分类维度）</w:t>
      </w:r>
    </w:p>
    <w:p w14:paraId="1E79685F">
      <w:pPr>
        <w:pStyle w:val="16"/>
        <w:rPr>
          <w:rFonts w:hint="default" w:eastAsia="等线"/>
          <w:lang w:val="en-US" w:eastAsia="zh-CN"/>
        </w:rPr>
      </w:pPr>
      <w:r>
        <w:rPr>
          <w:b/>
          <w:bCs/>
        </w:rPr>
        <w:t>核心定位</w:t>
      </w:r>
      <w:r>
        <w:t>：本体的术语标准化层，定义统一分类层级与语义边界，消除术语歧义。</w:t>
      </w:r>
      <w:r>
        <w:rPr>
          <w:rFonts w:hint="eastAsia"/>
          <w:lang w:val="en-US" w:eastAsia="zh-CN"/>
        </w:rPr>
        <w:t>形成产业、产品、技术概念词典。（对概念体系进行设计）</w:t>
      </w:r>
    </w:p>
    <w:p w14:paraId="71ADA223">
      <w:pPr>
        <w:pStyle w:val="16"/>
      </w:pPr>
    </w:p>
    <w:tbl>
      <w:tblPr>
        <w:tblStyle w:val="10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760"/>
        <w:gridCol w:w="2760"/>
        <w:gridCol w:w="2760"/>
      </w:tblGrid>
      <w:tr w14:paraId="563F05B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A16E7B4">
            <w:pPr>
              <w:pStyle w:val="16"/>
            </w:pPr>
            <w:r>
              <w:t>统一分类维度层级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7EF53AA">
            <w:pPr>
              <w:pStyle w:val="16"/>
            </w:pPr>
            <w:r>
              <w:t>新能源汽车产业链示例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80F6E28">
            <w:pPr>
              <w:pStyle w:val="16"/>
            </w:pPr>
            <w:r>
              <w:t>核心作用</w:t>
            </w:r>
          </w:p>
        </w:tc>
      </w:tr>
      <w:tr w14:paraId="2A06A46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29B540F">
            <w:pPr>
              <w:pStyle w:val="16"/>
            </w:pPr>
            <w:r>
              <w:t>产业层级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BF71FF7">
            <w:pPr>
              <w:pStyle w:val="16"/>
            </w:pPr>
            <w:r>
              <w:t>新能源汽车产业 → 动力电池赛道 → 上游原材料环节 → 锂矿开采工艺节点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12BD31D">
            <w:pPr>
              <w:pStyle w:val="16"/>
            </w:pPr>
            <w:r>
              <w:t>界定产业链层级边界，支撑全景梳理</w:t>
            </w:r>
          </w:p>
        </w:tc>
      </w:tr>
      <w:tr w14:paraId="4AC4B7C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D399FF8">
            <w:pPr>
              <w:pStyle w:val="16"/>
            </w:pPr>
            <w:r>
              <w:t>产品谱系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DAD572B">
            <w:pPr>
              <w:pStyle w:val="16"/>
            </w:pPr>
            <w:r>
              <w:t>动力电池 → 磷酸铁锂电池 → 方形电芯 → 280Ah规格电芯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682E3E7">
            <w:pPr>
              <w:pStyle w:val="16"/>
            </w:pPr>
            <w:r>
              <w:t>匹配产业层级的产品体系，支撑供需分析</w:t>
            </w:r>
          </w:p>
        </w:tc>
      </w:tr>
      <w:tr w14:paraId="34F436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77009EE">
            <w:pPr>
              <w:pStyle w:val="16"/>
            </w:pPr>
            <w:r>
              <w:t>技术路线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C098FDE">
            <w:pPr>
              <w:pStyle w:val="16"/>
            </w:pPr>
            <w:r>
              <w:t>动力电池技术 → 磷酸铁锂技术 → 刀片电池工艺 → 超薄电芯成型技术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7246AC4">
            <w:pPr>
              <w:pStyle w:val="16"/>
            </w:pPr>
            <w:r>
              <w:t>对应产品的核心技术支撑，支撑技术布局分析</w:t>
            </w:r>
          </w:p>
        </w:tc>
      </w:tr>
    </w:tbl>
    <w:p w14:paraId="4975DFF3">
      <w:pPr>
        <w:pStyle w:val="16"/>
      </w:pPr>
      <w:r>
        <w:rPr>
          <w:b/>
          <w:bCs/>
        </w:rPr>
        <w:t>关键约束</w:t>
      </w:r>
      <w:r>
        <w:t>：</w:t>
      </w:r>
    </w:p>
    <w:p w14:paraId="0F2438E0">
      <w:pPr>
        <w:pStyle w:val="16"/>
        <w:numPr>
          <w:ilvl w:val="0"/>
          <w:numId w:val="2"/>
        </w:numPr>
      </w:pPr>
      <w:r>
        <w:t>产业层级、产品谱系、技术路线保持一一对应；</w:t>
      </w:r>
    </w:p>
    <w:p w14:paraId="518C2D18">
      <w:pPr>
        <w:pStyle w:val="16"/>
        <w:numPr>
          <w:ilvl w:val="0"/>
          <w:numId w:val="2"/>
        </w:numPr>
      </w:pPr>
      <w:r>
        <w:t>术语优先采用国标/行业标准，自定义术语需标注并纳入映射表。</w:t>
      </w:r>
    </w:p>
    <w:p w14:paraId="596F18D1">
      <w:pPr>
        <w:pStyle w:val="4"/>
      </w:pPr>
      <w:r>
        <w:t>2. 实体</w:t>
      </w:r>
      <w:r>
        <w:rPr>
          <w:rFonts w:hint="eastAsia"/>
          <w:lang w:val="en-US" w:eastAsia="zh-CN"/>
        </w:rPr>
        <w:t>类型</w:t>
      </w:r>
      <w:r>
        <w:t>体系（产业主体实体+产业要素实体）</w:t>
      </w:r>
    </w:p>
    <w:p w14:paraId="77C40949">
      <w:pPr>
        <w:pStyle w:val="16"/>
        <w:rPr>
          <w:rFonts w:hint="eastAsia" w:eastAsia="等线"/>
          <w:lang w:eastAsia="zh-CN"/>
        </w:rPr>
      </w:pPr>
      <w:r>
        <w:rPr>
          <w:b/>
          <w:bCs/>
        </w:rPr>
        <w:t>核心定位</w:t>
      </w:r>
      <w:r>
        <w:t>：本体的具象载体层，是概念体系的实例化对象，所有实体绑定统一分类标签。</w:t>
      </w:r>
      <w:r>
        <w:rPr>
          <w:rFonts w:hint="eastAsia"/>
          <w:lang w:eastAsia="zh-CN"/>
        </w:rPr>
        <w:t>（</w:t>
      </w:r>
      <w:r>
        <w:rPr>
          <w:rFonts w:hint="eastAsia"/>
          <w:lang w:val="en-US" w:eastAsia="zh-CN"/>
        </w:rPr>
        <w:t>实体基础信息、事实性信息</w:t>
      </w:r>
      <w:r>
        <w:rPr>
          <w:rFonts w:hint="eastAsia"/>
          <w:lang w:eastAsia="zh-CN"/>
        </w:rPr>
        <w:t>）</w:t>
      </w:r>
    </w:p>
    <w:p w14:paraId="1FBC7CA4">
      <w:pPr>
        <w:pStyle w:val="16"/>
      </w:pPr>
    </w:p>
    <w:tbl>
      <w:tblPr>
        <w:tblStyle w:val="10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785"/>
        <w:gridCol w:w="1682"/>
        <w:gridCol w:w="1923"/>
        <w:gridCol w:w="1981"/>
        <w:gridCol w:w="1895"/>
      </w:tblGrid>
      <w:tr w14:paraId="76C951A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866B22E">
            <w:pPr>
              <w:pStyle w:val="16"/>
            </w:pPr>
            <w:r>
              <w:t>实体大类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98B92D5">
            <w:pPr>
              <w:pStyle w:val="16"/>
            </w:pPr>
            <w:r>
              <w:t>细分类型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E7D5D2E">
            <w:pPr>
              <w:pStyle w:val="16"/>
            </w:pPr>
            <w:r>
              <w:t>具体示例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ED04D10">
            <w:pPr>
              <w:pStyle w:val="16"/>
            </w:pPr>
            <w:r>
              <w:t>绑定统一分类标签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32FF254">
            <w:pPr>
              <w:pStyle w:val="16"/>
            </w:pPr>
            <w:r>
              <w:t>核心属性</w:t>
            </w:r>
          </w:p>
        </w:tc>
      </w:tr>
      <w:tr w14:paraId="6589D6C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A7882AE">
            <w:pPr>
              <w:pStyle w:val="16"/>
            </w:pPr>
            <w:r>
              <w:t>产业主体实体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5842AF8">
            <w:pPr>
              <w:pStyle w:val="16"/>
            </w:pPr>
            <w:r>
              <w:t>企业主体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F39D6A9">
            <w:pPr>
              <w:pStyle w:val="16"/>
            </w:pPr>
            <w:r>
              <w:t>供应商（赣锋锂业）、生产商（宁德时代）、经销商（汽车4S集团）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8237F32">
            <w:pPr>
              <w:pStyle w:val="16"/>
            </w:pPr>
            <w:r>
              <w:t>产业层级：新能源汽车→动力电池→上游原材料供应商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DB9E8E8">
            <w:pPr>
              <w:pStyle w:val="16"/>
            </w:pPr>
            <w:r>
              <w:t>统一社会信用代码、成立时间、产能规模、市场份额</w:t>
            </w:r>
          </w:p>
        </w:tc>
      </w:tr>
      <w:tr w14:paraId="0968BC4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87D4E41">
            <w:pPr>
              <w:pStyle w:val="16"/>
            </w:pPr>
            <w:r>
              <w:t>（价值创造载体）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9312617">
            <w:pPr>
              <w:pStyle w:val="16"/>
            </w:pPr>
            <w:r>
              <w:t>公共主体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A6211B6">
            <w:pPr>
              <w:pStyle w:val="16"/>
            </w:pPr>
            <w:r>
              <w:t>高校（清华大学）、政府部门（工信部）、行业协会（中国汽车工业协会）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DED1621">
            <w:pPr>
              <w:pStyle w:val="16"/>
            </w:pPr>
            <w:r>
              <w:t>产业层级：新能源汽车产业→政策监管主体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525EF3F">
            <w:pPr>
              <w:pStyle w:val="16"/>
            </w:pPr>
            <w:r>
              <w:t>机构编号、职能范围、发布政策文号</w:t>
            </w:r>
          </w:p>
        </w:tc>
      </w:tr>
      <w:tr w14:paraId="2685C7E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F9E29C1">
            <w:pPr>
              <w:pStyle w:val="16"/>
            </w:pP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5A3B0B2">
            <w:pPr>
              <w:pStyle w:val="16"/>
            </w:pPr>
            <w:r>
              <w:t>金融主体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7050ACB">
            <w:pPr>
              <w:pStyle w:val="16"/>
            </w:pPr>
            <w:r>
              <w:t>产业基金（国家制造业转型升级基金）、银行（国有商业银行）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C498841">
            <w:pPr>
              <w:pStyle w:val="16"/>
            </w:pPr>
            <w:r>
              <w:t>产业层级：新能源汽车产业→金融服务主体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2F5760E">
            <w:pPr>
              <w:pStyle w:val="16"/>
            </w:pPr>
            <w:r>
              <w:t>基金规模、投资方向、合作企业</w:t>
            </w:r>
          </w:p>
        </w:tc>
      </w:tr>
      <w:tr w14:paraId="6E3C422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668E170">
            <w:pPr>
              <w:pStyle w:val="16"/>
            </w:pPr>
            <w:r>
              <w:t>产业要素实体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4FA54F5">
            <w:pPr>
              <w:pStyle w:val="16"/>
            </w:pPr>
            <w:r>
              <w:t>产品实体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08897FF">
            <w:pPr>
              <w:pStyle w:val="16"/>
            </w:pPr>
            <w:r>
              <w:t>原材料（锂矿）、中间品（磷酸铁锂正极材料）、终端品（刀片电池）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0410CA6">
            <w:pPr>
              <w:pStyle w:val="16"/>
            </w:pPr>
            <w:r>
              <w:t>产品谱系：动力电池→磷酸铁锂电池→280Ah方形电芯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47067C9">
            <w:pPr>
              <w:pStyle w:val="16"/>
            </w:pPr>
            <w:r>
              <w:t>产品SKU、技术参数、生产标准、供应商清单</w:t>
            </w:r>
          </w:p>
        </w:tc>
      </w:tr>
      <w:tr w14:paraId="11BE41B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804231A">
            <w:pPr>
              <w:pStyle w:val="16"/>
            </w:pPr>
            <w:r>
              <w:t>（价值流转对象）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4F7D380">
            <w:pPr>
              <w:pStyle w:val="16"/>
            </w:pPr>
            <w:r>
              <w:t>技术实体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6C07976">
            <w:pPr>
              <w:pStyle w:val="16"/>
            </w:pPr>
            <w:r>
              <w:t>工艺技术（云母提锂工艺）、专利技术（刀片电池专利）、平台技术（800V高压平台）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18ECC8B">
            <w:pPr>
              <w:pStyle w:val="16"/>
            </w:pPr>
            <w:r>
              <w:t>技术路线：动力电池技术→磷酸铁锂技术→刀片电池工艺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87460BA">
            <w:pPr>
              <w:pStyle w:val="16"/>
            </w:pPr>
            <w:r>
              <w:t>专利号、技术参数、权属主体、应用场景</w:t>
            </w:r>
          </w:p>
        </w:tc>
      </w:tr>
      <w:tr w14:paraId="5E5CAC7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47D9594">
            <w:pPr>
              <w:pStyle w:val="16"/>
            </w:pP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D698DC6">
            <w:pPr>
              <w:pStyle w:val="16"/>
            </w:pPr>
            <w:r>
              <w:t>资源实体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B902696">
            <w:pPr>
              <w:pStyle w:val="16"/>
            </w:pPr>
            <w:r>
              <w:t>产业园区（长三角动力电池产业园）、生产基地（宁德时代宜宾工厂）、数据中心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62D9669">
            <w:pPr>
              <w:pStyle w:val="16"/>
            </w:pPr>
            <w:r>
              <w:t>产业层级：新能源汽车→动力电池→中游制造基地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C05737E">
            <w:pPr>
              <w:pStyle w:val="16"/>
            </w:pPr>
            <w:r>
              <w:t>园区地址、入驻企业、产能容量、数据覆盖范围</w:t>
            </w:r>
          </w:p>
        </w:tc>
      </w:tr>
    </w:tbl>
    <w:p w14:paraId="2974DD13">
      <w:pPr>
        <w:pStyle w:val="4"/>
      </w:pPr>
      <w:r>
        <w:t>3. 关系</w:t>
      </w:r>
      <w:r>
        <w:rPr>
          <w:rFonts w:hint="eastAsia"/>
          <w:lang w:val="en-US" w:eastAsia="zh-CN"/>
        </w:rPr>
        <w:t>类型</w:t>
      </w:r>
      <w:r>
        <w:t>体系</w:t>
      </w:r>
    </w:p>
    <w:p w14:paraId="712D7784">
      <w:pPr>
        <w:pStyle w:val="16"/>
      </w:pPr>
      <w:r>
        <w:rPr>
          <w:b/>
          <w:bCs/>
        </w:rPr>
        <w:t>核心定位</w:t>
      </w:r>
      <w:r>
        <w:t>：本体的语义连接层，定义实体、事件间的关联规则，贴合“主体-要素”价值流转逻辑。</w:t>
      </w:r>
    </w:p>
    <w:p w14:paraId="18D099FE">
      <w:pPr>
        <w:pStyle w:val="16"/>
      </w:pPr>
    </w:p>
    <w:tbl>
      <w:tblPr>
        <w:tblStyle w:val="10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791"/>
        <w:gridCol w:w="1791"/>
        <w:gridCol w:w="1915"/>
        <w:gridCol w:w="1884"/>
        <w:gridCol w:w="1885"/>
      </w:tblGrid>
      <w:tr w14:paraId="3BFFF78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A7CD09D">
            <w:pPr>
              <w:pStyle w:val="16"/>
            </w:pPr>
            <w:r>
              <w:t>关系类型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35D1EB0">
            <w:pPr>
              <w:pStyle w:val="16"/>
            </w:pPr>
            <w:r>
              <w:t>语义描述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5B7F361">
            <w:pPr>
              <w:pStyle w:val="16"/>
            </w:pPr>
            <w:r>
              <w:t>实例化三元组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0A461E5">
            <w:pPr>
              <w:pStyle w:val="16"/>
            </w:pPr>
            <w:r>
              <w:t>绑定统一分类标签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A1C9F96">
            <w:pPr>
              <w:pStyle w:val="16"/>
            </w:pPr>
            <w:r>
              <w:t>核心属性</w:t>
            </w:r>
          </w:p>
        </w:tc>
      </w:tr>
      <w:tr w14:paraId="235E7E5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4A195AC">
            <w:pPr>
              <w:pStyle w:val="16"/>
            </w:pPr>
            <w:r>
              <w:t>产业链供需关系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96AF1FA">
            <w:pPr>
              <w:pStyle w:val="16"/>
            </w:pPr>
            <w:r>
              <w:t>主体与产品要素的供应/采购关联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3198D11">
            <w:pPr>
              <w:pStyle w:val="16"/>
            </w:pPr>
            <w:r>
              <w:t>（赣锋锂业，供应，磷酸铁锂正极材料）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D7D9455">
            <w:pPr>
              <w:pStyle w:val="16"/>
            </w:pPr>
            <w:r>
              <w:t>产业层级：上游原材料→中游电芯制造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9B5CE21">
            <w:pPr>
              <w:pStyle w:val="16"/>
            </w:pPr>
            <w:r>
              <w:t>供应占比、合作周期、价格</w:t>
            </w:r>
          </w:p>
        </w:tc>
      </w:tr>
      <w:tr w14:paraId="4E7F06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3D86453">
            <w:pPr>
              <w:pStyle w:val="16"/>
            </w:pPr>
            <w:r>
              <w:t>技术赋能关系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F292173">
            <w:pPr>
              <w:pStyle w:val="16"/>
            </w:pPr>
            <w:r>
              <w:t>技术实体与产品/主体的支撑关联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76FA2F9">
            <w:pPr>
              <w:pStyle w:val="16"/>
            </w:pPr>
            <w:r>
              <w:t>（刀片电池工艺，赋能，宁德时代方形电芯）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E022ECC">
            <w:pPr>
              <w:pStyle w:val="16"/>
            </w:pPr>
            <w:r>
              <w:t>技术路线→产品谱系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2E2654D">
            <w:pPr>
              <w:pStyle w:val="16"/>
            </w:pPr>
            <w:r>
              <w:t>技术贡献率、迭代周期</w:t>
            </w:r>
          </w:p>
        </w:tc>
      </w:tr>
      <w:tr w14:paraId="165CEBA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007D8FF">
            <w:pPr>
              <w:pStyle w:val="16"/>
            </w:pPr>
            <w:r>
              <w:t>主体-事件参与关系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56E5F17">
            <w:pPr>
              <w:pStyle w:val="16"/>
            </w:pPr>
            <w:r>
              <w:t>主体发起/参与产业事件的关联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46FBA47">
            <w:pPr>
              <w:pStyle w:val="16"/>
            </w:pPr>
            <w:r>
              <w:t>（宁德时代，发起，2025宜宾扩产事件）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2D1D63A">
            <w:pPr>
              <w:pStyle w:val="16"/>
            </w:pPr>
            <w:r>
              <w:t>产业层级：动力电池中游制造→扩产事件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F3AACB9">
            <w:pPr>
              <w:pStyle w:val="16"/>
            </w:pPr>
            <w:r>
              <w:t>事件规模、投资金额</w:t>
            </w:r>
          </w:p>
        </w:tc>
      </w:tr>
      <w:tr w14:paraId="378C73F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76121E2">
            <w:pPr>
              <w:pStyle w:val="16"/>
            </w:pPr>
            <w:r>
              <w:t>文档-知识支撑关系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9F94D8C">
            <w:pPr>
              <w:pStyle w:val="16"/>
            </w:pPr>
            <w:r>
              <w:t>文档对知识的溯源关联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26821FE">
            <w:pPr>
              <w:pStyle w:val="16"/>
            </w:pPr>
            <w:r>
              <w:t>（XX券商研报，支撑，宁德时代市占率数据）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A07653C">
            <w:pPr>
              <w:pStyle w:val="16"/>
            </w:pPr>
            <w:r>
              <w:t>覆盖全分类维度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80F044A">
            <w:pPr>
              <w:pStyle w:val="16"/>
            </w:pPr>
            <w:r>
              <w:t>可信度等级</w:t>
            </w:r>
          </w:p>
        </w:tc>
      </w:tr>
    </w:tbl>
    <w:p w14:paraId="38CA8FC9">
      <w:pPr>
        <w:pStyle w:val="4"/>
      </w:pPr>
      <w:r>
        <w:t>4. 事件</w:t>
      </w:r>
      <w:r>
        <w:rPr>
          <w:rFonts w:hint="eastAsia"/>
          <w:lang w:val="en-US" w:eastAsia="zh-CN"/>
        </w:rPr>
        <w:t>类型</w:t>
      </w:r>
      <w:r>
        <w:t>体系</w:t>
      </w:r>
    </w:p>
    <w:p w14:paraId="3D9D027D">
      <w:pPr>
        <w:pStyle w:val="16"/>
      </w:pPr>
      <w:r>
        <w:rPr>
          <w:b/>
          <w:bCs/>
        </w:rPr>
        <w:t>核心定位</w:t>
      </w:r>
      <w:r>
        <w:t>：本体的动态演化层，刻画产业链关键变化节点，支撑趋势分析与风险预警。</w:t>
      </w:r>
    </w:p>
    <w:p w14:paraId="7FB28E9E">
      <w:pPr>
        <w:pStyle w:val="16"/>
      </w:pPr>
    </w:p>
    <w:tbl>
      <w:tblPr>
        <w:tblStyle w:val="10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264"/>
        <w:gridCol w:w="2312"/>
        <w:gridCol w:w="2378"/>
        <w:gridCol w:w="2312"/>
      </w:tblGrid>
      <w:tr w14:paraId="5FF6787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059602D">
            <w:pPr>
              <w:pStyle w:val="16"/>
            </w:pPr>
            <w:r>
              <w:t>事件类型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DCE01C1">
            <w:pPr>
              <w:pStyle w:val="16"/>
            </w:pPr>
            <w:r>
              <w:t>核心属性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680CA0E">
            <w:pPr>
              <w:pStyle w:val="16"/>
            </w:pPr>
            <w:r>
              <w:t>示例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563FE93">
            <w:pPr>
              <w:pStyle w:val="16"/>
            </w:pPr>
            <w:r>
              <w:t>绑定实体与分类标签</w:t>
            </w:r>
          </w:p>
        </w:tc>
      </w:tr>
      <w:tr w14:paraId="38EA7E3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CC4E427">
            <w:pPr>
              <w:pStyle w:val="16"/>
            </w:pPr>
            <w:r>
              <w:t>运营事件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D1638C2">
            <w:pPr>
              <w:pStyle w:val="16"/>
            </w:pPr>
            <w:r>
              <w:t>时间、主体、要素、结果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015BA9E">
            <w:pPr>
              <w:pStyle w:val="16"/>
            </w:pPr>
            <w:r>
              <w:t>宁德时代2025年宜宾扩产（新增20GWh电芯产能）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E0522FD">
            <w:pPr>
              <w:pStyle w:val="16"/>
            </w:pPr>
            <w:r>
              <w:t>主体：宁德时代；分类：动力电池中游制造</w:t>
            </w:r>
          </w:p>
        </w:tc>
      </w:tr>
      <w:tr w14:paraId="7689D01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9F2D92E">
            <w:pPr>
              <w:pStyle w:val="16"/>
            </w:pPr>
            <w:r>
              <w:t>技术事件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785BA27">
            <w:pPr>
              <w:pStyle w:val="16"/>
            </w:pPr>
            <w:r>
              <w:t>时间、主体、技术成果、影响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DFBD1A6">
            <w:pPr>
              <w:pStyle w:val="16"/>
            </w:pPr>
            <w:r>
              <w:t>某企业固态电池专利2025年授权（能量密度提升50%）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CFC5EA5">
            <w:pPr>
              <w:pStyle w:val="16"/>
            </w:pPr>
            <w:r>
              <w:t>技术实体：固态电池专利；分类：动力电池技术路线</w:t>
            </w:r>
          </w:p>
        </w:tc>
      </w:tr>
      <w:tr w14:paraId="06DA252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B96912F">
            <w:pPr>
              <w:pStyle w:val="16"/>
            </w:pPr>
            <w:r>
              <w:t>政策事件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A67B3DC">
            <w:pPr>
              <w:pStyle w:val="16"/>
            </w:pPr>
            <w:r>
              <w:t>时间、发布主体、适用范围、影响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855D3F0">
            <w:pPr>
              <w:pStyle w:val="16"/>
            </w:pPr>
            <w:r>
              <w:t>新能源汽车补贴新政2025年出台（扶持高续航车型）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577CC03">
            <w:pPr>
              <w:pStyle w:val="16"/>
            </w:pPr>
            <w:r>
              <w:t>公共主体：工信部；分类：新能源汽车整车赛道</w:t>
            </w:r>
          </w:p>
        </w:tc>
      </w:tr>
      <w:tr w14:paraId="27C7DEE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A297FA2">
            <w:pPr>
              <w:pStyle w:val="16"/>
            </w:pPr>
            <w:r>
              <w:t>市场事件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D82B5C9">
            <w:pPr>
              <w:pStyle w:val="16"/>
            </w:pPr>
            <w:r>
              <w:t>时间、触发因素、影响要素、范围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922C216">
            <w:pPr>
              <w:pStyle w:val="16"/>
            </w:pPr>
            <w:r>
              <w:t>锂矿价格2025年上涨15%（推高电芯成本）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CF1BA9B">
            <w:pPr>
              <w:pStyle w:val="16"/>
            </w:pPr>
            <w:r>
              <w:t>产品实体：锂矿；分类：动力电池上游原材料</w:t>
            </w:r>
          </w:p>
        </w:tc>
      </w:tr>
    </w:tbl>
    <w:p w14:paraId="7C0D610C">
      <w:pPr>
        <w:pStyle w:val="4"/>
      </w:pPr>
      <w:r>
        <w:t>5. 文档</w:t>
      </w:r>
      <w:r>
        <w:rPr>
          <w:rFonts w:hint="eastAsia"/>
          <w:lang w:val="en-US" w:eastAsia="zh-CN"/>
        </w:rPr>
        <w:t>类型</w:t>
      </w:r>
      <w:r>
        <w:t>体系（研报/专利/资讯分类）</w:t>
      </w:r>
    </w:p>
    <w:p w14:paraId="58A357F3">
      <w:pPr>
        <w:pStyle w:val="16"/>
      </w:pPr>
      <w:r>
        <w:rPr>
          <w:b/>
          <w:bCs/>
        </w:rPr>
        <w:t>核心定位</w:t>
      </w:r>
      <w:r>
        <w:t>：本体的知识溯源层，为所有子体系提供数据源与可信度背书。</w:t>
      </w:r>
    </w:p>
    <w:p w14:paraId="5D638306">
      <w:pPr>
        <w:pStyle w:val="16"/>
      </w:pPr>
    </w:p>
    <w:tbl>
      <w:tblPr>
        <w:tblStyle w:val="10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778"/>
        <w:gridCol w:w="1872"/>
        <w:gridCol w:w="1872"/>
        <w:gridCol w:w="1872"/>
        <w:gridCol w:w="1872"/>
      </w:tblGrid>
      <w:tr w14:paraId="673CB2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C696E87">
            <w:pPr>
              <w:pStyle w:val="16"/>
            </w:pPr>
            <w:r>
              <w:t>文档大类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EABDFF8">
            <w:pPr>
              <w:pStyle w:val="16"/>
            </w:pPr>
            <w:r>
              <w:t>细分类型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C30C654">
            <w:pPr>
              <w:pStyle w:val="16"/>
            </w:pPr>
            <w:r>
              <w:t>可信度等级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B2E41D3">
            <w:pPr>
              <w:pStyle w:val="16"/>
            </w:pPr>
            <w:r>
              <w:t>核心内容特征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1C3F5AA">
            <w:pPr>
              <w:pStyle w:val="16"/>
            </w:pPr>
            <w:r>
              <w:t>关联场景示例</w:t>
            </w:r>
          </w:p>
        </w:tc>
      </w:tr>
      <w:tr w14:paraId="3D2DF17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4334D34">
            <w:pPr>
              <w:pStyle w:val="16"/>
            </w:pPr>
            <w:r>
              <w:t>研报类文档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ECB3244">
            <w:pPr>
              <w:pStyle w:val="16"/>
            </w:pPr>
            <w:r>
              <w:t>券商研报、咨询机构报告、产业白皮书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3F8BC01">
            <w:pPr>
              <w:pStyle w:val="16"/>
            </w:pPr>
            <w:r>
              <w:t>A级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5AC4543">
            <w:pPr>
              <w:pStyle w:val="16"/>
            </w:pPr>
            <w:r>
              <w:t>数据量化、逻辑严谨、覆盖产业链全局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4DEA3F6">
            <w:pPr>
              <w:pStyle w:val="16"/>
            </w:pPr>
            <w:r>
              <w:t>支撑主体市场份额、要素供需分析</w:t>
            </w:r>
          </w:p>
        </w:tc>
      </w:tr>
      <w:tr w14:paraId="6AD42F5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0FBD950">
            <w:pPr>
              <w:pStyle w:val="16"/>
            </w:pPr>
            <w:r>
              <w:t>专利类文档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E5C0ABB">
            <w:pPr>
              <w:pStyle w:val="16"/>
            </w:pPr>
            <w:r>
              <w:t>发明专利说明书、专利同族分析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ACE4A0B">
            <w:pPr>
              <w:pStyle w:val="16"/>
            </w:pPr>
            <w:r>
              <w:t>A级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79F5ED8">
            <w:pPr>
              <w:pStyle w:val="16"/>
            </w:pPr>
            <w:r>
              <w:t>技术参数明确、权属清晰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21CF0EF">
            <w:pPr>
              <w:pStyle w:val="16"/>
            </w:pPr>
            <w:r>
              <w:t>支撑技术实体参数验证、权属关系确认</w:t>
            </w:r>
          </w:p>
        </w:tc>
      </w:tr>
      <w:tr w14:paraId="691CE0B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E9A2BB0">
            <w:pPr>
              <w:pStyle w:val="16"/>
            </w:pPr>
            <w:r>
              <w:t>资讯类文档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336CCBB">
            <w:pPr>
              <w:pStyle w:val="16"/>
            </w:pPr>
            <w:r>
              <w:t>企业公告、政策文件、权威媒体新闻、普通资讯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7BD0BA3">
            <w:pPr>
              <w:pStyle w:val="16"/>
            </w:pPr>
            <w:r>
              <w:t>分级标注：企业公告/政策文件=A级权威媒体=B级普通资讯=C级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9439425">
            <w:pPr>
              <w:pStyle w:val="16"/>
            </w:pPr>
            <w:r>
              <w:t>时效性强、覆盖动态事件与政策导向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4BC3272">
            <w:pPr>
              <w:pStyle w:val="16"/>
            </w:pPr>
            <w:r>
              <w:t>支撑事件溯源、政策对主体的影响分析</w:t>
            </w:r>
          </w:p>
        </w:tc>
      </w:tr>
    </w:tbl>
    <w:p w14:paraId="1E12E2CB">
      <w:pPr>
        <w:pStyle w:val="4"/>
        <w:rPr>
          <w:rFonts w:hint="eastAsia" w:eastAsia="等线"/>
          <w:lang w:eastAsia="zh-CN"/>
        </w:rPr>
      </w:pPr>
      <w:r>
        <w:t xml:space="preserve">6. </w:t>
      </w:r>
      <w:r>
        <w:rPr>
          <w:rFonts w:hint="eastAsia"/>
          <w:lang w:val="en-US" w:eastAsia="zh-CN"/>
        </w:rPr>
        <w:t>事实知识</w:t>
      </w:r>
      <w:r>
        <w:t>体系</w:t>
      </w:r>
      <w:r>
        <w:rPr>
          <w:rFonts w:hint="eastAsia"/>
          <w:lang w:eastAsia="zh-CN"/>
        </w:rPr>
        <w:t>（</w:t>
      </w:r>
      <w:r>
        <w:rPr>
          <w:rFonts w:hint="eastAsia"/>
          <w:lang w:val="en-US" w:eastAsia="zh-CN"/>
        </w:rPr>
        <w:t>fact-context</w:t>
      </w:r>
      <w:r>
        <w:rPr>
          <w:rFonts w:hint="eastAsia"/>
          <w:lang w:eastAsia="zh-CN"/>
        </w:rPr>
        <w:t>）</w:t>
      </w:r>
    </w:p>
    <w:p w14:paraId="612F5751">
      <w:pPr>
        <w:pStyle w:val="16"/>
        <w:rPr>
          <w:rFonts w:hint="default" w:eastAsia="等线"/>
          <w:lang w:val="en-US" w:eastAsia="zh-CN"/>
        </w:rPr>
      </w:pPr>
      <w:r>
        <w:rPr>
          <w:b/>
          <w:bCs/>
        </w:rPr>
        <w:t>核心定位</w:t>
      </w:r>
      <w:r>
        <w:t>：本体的语义深化层，连接自然语言与结构化知识，添加场景约束。</w:t>
      </w:r>
      <w:r>
        <w:rPr>
          <w:rFonts w:hint="eastAsia"/>
          <w:lang w:eastAsia="zh-CN"/>
        </w:rPr>
        <w:t>（</w:t>
      </w:r>
      <w:r>
        <w:rPr>
          <w:rFonts w:hint="eastAsia"/>
          <w:lang w:val="en-US" w:eastAsia="zh-CN"/>
        </w:rPr>
        <w:t>静态知识-&gt;概念类属性类关系类、动态知识-&gt;事件</w:t>
      </w:r>
      <w:r>
        <w:rPr>
          <w:rFonts w:hint="eastAsia"/>
          <w:lang w:eastAsia="zh-CN"/>
        </w:rPr>
        <w:t>）</w:t>
      </w:r>
      <w:r>
        <w:rPr>
          <w:rFonts w:hint="eastAsia"/>
          <w:lang w:val="en-US" w:eastAsia="zh-CN"/>
        </w:rPr>
        <w:t>通过statement+context来表示管理</w:t>
      </w:r>
    </w:p>
    <w:p w14:paraId="48001082">
      <w:pPr>
        <w:pStyle w:val="16"/>
      </w:pPr>
    </w:p>
    <w:tbl>
      <w:tblPr>
        <w:tblStyle w:val="10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760"/>
        <w:gridCol w:w="2760"/>
      </w:tblGrid>
      <w:tr w14:paraId="53B22A4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61ED271">
            <w:pPr>
              <w:pStyle w:val="16"/>
            </w:pPr>
            <w:r>
              <w:t>构成部分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A3E02B6">
            <w:pPr>
              <w:pStyle w:val="16"/>
            </w:pPr>
            <w:r>
              <w:t>定义与示例</w:t>
            </w:r>
          </w:p>
        </w:tc>
      </w:tr>
      <w:tr w14:paraId="2A23FCE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31AF4D9">
            <w:pPr>
              <w:pStyle w:val="16"/>
            </w:pPr>
            <w:r>
              <w:t>陈述层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315D65B">
            <w:pPr>
              <w:pStyle w:val="16"/>
            </w:pPr>
            <w:r>
              <w:t>自然语言事实断言，绑定文档+可信度+分类标签示例：「赣锋锂业为宁德时代供应30%磷酸铁锂正极材料」（A级，来源：XX券商研报；分类：动力电池上游→中游）</w:t>
            </w:r>
          </w:p>
        </w:tc>
      </w:tr>
      <w:tr w14:paraId="3441AF6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691E3BB">
            <w:pPr>
              <w:pStyle w:val="16"/>
            </w:pPr>
            <w:r>
              <w:t>语句层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DA77D12">
            <w:pPr>
              <w:pStyle w:val="16"/>
            </w:pPr>
            <w:r>
              <w:t>机器可读的三元组格式示例：（赣锋锂业，供应，磷酸铁锂正极材料）；（赣锋锂业，供应占比，30%）</w:t>
            </w:r>
          </w:p>
        </w:tc>
      </w:tr>
      <w:tr w14:paraId="6BF9A24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46279B0">
            <w:pPr>
              <w:pStyle w:val="16"/>
            </w:pPr>
            <w:r>
              <w:t>情境层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8AC6669">
            <w:pPr>
              <w:pStyle w:val="16"/>
            </w:pPr>
            <w:r>
              <w:t>知识适用边界，含时间、区域、产业阶段维度示例：时间（2025年）+ 区域（国内市场）+ 产业阶段（技术迭代期）</w:t>
            </w:r>
          </w:p>
        </w:tc>
      </w:tr>
    </w:tbl>
    <w:p w14:paraId="7C6F573E">
      <w:pPr>
        <w:pStyle w:val="3"/>
      </w:pPr>
      <w:r>
        <w:t>四、子体系联动逻辑</w:t>
      </w:r>
    </w:p>
    <w:p w14:paraId="39EB2DC0">
      <w:pPr>
        <w:pStyle w:val="16"/>
        <w:numPr>
          <w:ilvl w:val="0"/>
          <w:numId w:val="3"/>
        </w:numPr>
        <w:ind w:left="425" w:leftChars="0" w:hanging="425" w:firstLineChars="0"/>
      </w:pPr>
      <w:r>
        <w:t>文档驱动：从研报、专利、资讯中抽取主体、要素、事件原始信息；</w:t>
      </w:r>
    </w:p>
    <w:p w14:paraId="600FE2E9">
      <w:pPr>
        <w:pStyle w:val="16"/>
        <w:numPr>
          <w:ilvl w:val="0"/>
          <w:numId w:val="3"/>
        </w:numPr>
        <w:ind w:left="425" w:leftChars="0" w:hanging="425" w:firstLineChars="0"/>
      </w:pPr>
      <w:r>
        <w:t>概念标准化：按“产业-产品-技术”分类标签归类，消除语义歧义；</w:t>
      </w:r>
    </w:p>
    <w:p w14:paraId="50A9E174">
      <w:pPr>
        <w:pStyle w:val="16"/>
        <w:numPr>
          <w:ilvl w:val="0"/>
          <w:numId w:val="3"/>
        </w:numPr>
        <w:ind w:left="425" w:leftChars="0" w:hanging="425" w:firstLineChars="0"/>
      </w:pPr>
      <w:r>
        <w:t>实体关系绑定：明确主体与要素的关联，补充量化属性；</w:t>
      </w:r>
    </w:p>
    <w:p w14:paraId="12809CD0">
      <w:pPr>
        <w:pStyle w:val="16"/>
        <w:numPr>
          <w:ilvl w:val="0"/>
          <w:numId w:val="3"/>
        </w:numPr>
        <w:ind w:left="425" w:leftChars="0" w:hanging="425" w:firstLineChars="0"/>
      </w:pPr>
      <w:r>
        <w:t>语义转化：转化为“陈述-语句-情境”完整知识单元，绑定可信度；</w:t>
      </w:r>
    </w:p>
    <w:p w14:paraId="7A5D412D">
      <w:pPr>
        <w:pStyle w:val="16"/>
        <w:numPr>
          <w:ilvl w:val="0"/>
          <w:numId w:val="3"/>
        </w:numPr>
        <w:ind w:left="425" w:leftChars="0" w:hanging="425" w:firstLineChars="0"/>
      </w:pPr>
      <w:r>
        <w:t>决策推理：基于关系规则与情境约束，实现强链、补链、拓链分析。</w:t>
      </w:r>
    </w:p>
    <w:p w14:paraId="5F700A2B">
      <w:pPr>
        <w:pStyle w:val="3"/>
      </w:pPr>
      <w:r>
        <w:t>五、落地实施步骤</w:t>
      </w:r>
    </w:p>
    <w:p w14:paraId="050DAF16">
      <w:pPr>
        <w:pStyle w:val="16"/>
        <w:numPr>
          <w:ilvl w:val="0"/>
          <w:numId w:val="4"/>
        </w:numPr>
        <w:ind w:left="425" w:leftChars="0" w:hanging="425" w:firstLineChars="0"/>
      </w:pPr>
      <w:r>
        <w:t>统一术语梳理：建立“产业-产品-技术”术语映射表；</w:t>
      </w:r>
    </w:p>
    <w:p w14:paraId="49A62AEA">
      <w:pPr>
        <w:pStyle w:val="16"/>
        <w:numPr>
          <w:ilvl w:val="0"/>
          <w:numId w:val="4"/>
        </w:numPr>
        <w:ind w:left="425" w:leftChars="0" w:hanging="425" w:firstLineChars="0"/>
      </w:pPr>
      <w:r>
        <w:t>实体标识赋码：为主体、要素赋予唯一标识，绑定分类标签与别名映射；</w:t>
      </w:r>
    </w:p>
    <w:p w14:paraId="678DDEC5">
      <w:pPr>
        <w:pStyle w:val="16"/>
        <w:numPr>
          <w:ilvl w:val="0"/>
          <w:numId w:val="4"/>
        </w:numPr>
        <w:ind w:left="425" w:leftChars="0" w:hanging="425" w:firstLineChars="0"/>
      </w:pPr>
      <w:r>
        <w:t>知识标注入库：按“陈述-语句-情境”格式标注数据，关联文档来源；</w:t>
      </w:r>
    </w:p>
    <w:p w14:paraId="425E50E6">
      <w:pPr>
        <w:pStyle w:val="16"/>
        <w:numPr>
          <w:ilvl w:val="0"/>
          <w:numId w:val="4"/>
        </w:numPr>
        <w:ind w:left="425" w:leftChars="0" w:hanging="425" w:firstLineChars="0"/>
      </w:pPr>
      <w:r>
        <w:t>推理规则配置：嵌入产业决策规则（如「A级政策+高续航车型分类→车企受益」）；</w:t>
      </w:r>
    </w:p>
    <w:p w14:paraId="18628DF4">
      <w:pPr>
        <w:pStyle w:val="16"/>
        <w:numPr>
          <w:ilvl w:val="0"/>
          <w:numId w:val="4"/>
        </w:numPr>
        <w:ind w:left="425" w:leftChars="0" w:hanging="425" w:firstLineChars="0"/>
      </w:pPr>
      <w:r>
        <w:t>动态迭代维护：按文档类型建立更新机制（研报季度/专利实时/资讯每日）。</w:t>
      </w:r>
    </w:p>
    <w:p w14:paraId="27B5820E">
      <w:pPr>
        <w:pStyle w:val="3"/>
      </w:pPr>
      <w:r>
        <w:t>六、应用价值</w:t>
      </w:r>
    </w:p>
    <w:p w14:paraId="33034BFA">
      <w:pPr>
        <w:pStyle w:val="16"/>
        <w:numPr>
          <w:ilvl w:val="0"/>
          <w:numId w:val="0"/>
        </w:numPr>
        <w:ind w:leftChars="0"/>
      </w:pPr>
      <w:r>
        <w:t>知识整合：实现多源异构数据的结构化整合，形成统一产业知识图谱；</w:t>
      </w:r>
    </w:p>
    <w:p w14:paraId="5007E6F7">
      <w:pPr>
        <w:pStyle w:val="16"/>
        <w:numPr>
          <w:ilvl w:val="0"/>
          <w:numId w:val="5"/>
        </w:numPr>
        <w:ind w:left="425" w:leftChars="0" w:hanging="425" w:firstLineChars="0"/>
      </w:pPr>
      <w:r>
        <w:t>决策支撑：支撑薄弱环节识别、核心技术分析、政策影响评估、风险预警；</w:t>
      </w:r>
    </w:p>
    <w:p w14:paraId="766E2EBC">
      <w:pPr>
        <w:pStyle w:val="16"/>
        <w:numPr>
          <w:ilvl w:val="0"/>
          <w:numId w:val="5"/>
        </w:numPr>
        <w:ind w:left="425" w:leftChars="0" w:hanging="425" w:firstLineChars="0"/>
        <w:rPr>
          <w:rFonts w:hint="eastAsia"/>
          <w:lang w:eastAsia="zh-CN"/>
        </w:rPr>
      </w:pPr>
      <w:r>
        <w:t>生态协同：提供统一知识交互语言，促进产业链上下游、政企研协同。</w:t>
      </w:r>
    </w:p>
    <w:p w14:paraId="52C5970C">
      <w:pPr>
        <w:pStyle w:val="16"/>
        <w:numPr>
          <w:numId w:val="0"/>
        </w:numPr>
        <w:ind w:leftChars="0"/>
        <w:rPr>
          <w:rFonts w:hint="default" w:eastAsia="等线"/>
          <w:lang w:val="en-US" w:eastAsia="zh-CN"/>
        </w:rPr>
      </w:pPr>
      <w:r>
        <w:rPr>
          <w:rFonts w:hint="eastAsia"/>
          <w:lang w:val="en-US" w:eastAsia="zh-CN"/>
        </w:rPr>
        <w:t>标准化：knowledge store 、Cidoc、形成schema设计</w:t>
      </w:r>
      <w:bookmarkStart w:id="0" w:name="_GoBack"/>
      <w:bookmarkEnd w:id="0"/>
    </w:p>
    <w:sectPr>
      <w:pgSz w:w="11906" w:h="16838"/>
      <w:pgMar w:top="1440" w:right="1440" w:bottom="1440" w:left="1440" w:header="708" w:footer="708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A3F1B58B"/>
    <w:multiLevelType w:val="singleLevel"/>
    <w:tmpl w:val="A3F1B58B"/>
    <w:lvl w:ilvl="0" w:tentative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abstractNum w:abstractNumId="1">
    <w:nsid w:val="A908BED6"/>
    <w:multiLevelType w:val="singleLevel"/>
    <w:tmpl w:val="A908BED6"/>
    <w:lvl w:ilvl="0" w:tentative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abstractNum w:abstractNumId="2">
    <w:nsid w:val="F9D22C04"/>
    <w:multiLevelType w:val="singleLevel"/>
    <w:tmpl w:val="F9D22C04"/>
    <w:lvl w:ilvl="0" w:tentative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abstractNum w:abstractNumId="3">
    <w:nsid w:val="59ADCABA"/>
    <w:multiLevelType w:val="multilevel"/>
    <w:tmpl w:val="59ADCABA"/>
    <w:lvl w:ilvl="0" w:tentative="0">
      <w:start w:val="1"/>
      <w:numFmt w:val="bullet"/>
      <w:lvlText w:val="•"/>
      <w:lvlJc w:val="left"/>
      <w:pPr>
        <w:ind w:left="288" w:hanging="288"/>
      </w:pPr>
      <w:rPr>
        <w:color w:val="3370FF"/>
        <w:sz w:val="22"/>
        <w:szCs w:val="22"/>
      </w:rPr>
    </w:lvl>
    <w:lvl w:ilvl="1" w:tentative="0">
      <w:start w:val="1"/>
      <w:numFmt w:val="bullet"/>
      <w:lvlText w:val="◦"/>
      <w:lvlJc w:val="left"/>
      <w:pPr>
        <w:ind w:left="720" w:hanging="288"/>
      </w:pPr>
      <w:rPr>
        <w:color w:val="3370FF"/>
        <w:sz w:val="22"/>
        <w:szCs w:val="22"/>
      </w:rPr>
    </w:lvl>
    <w:lvl w:ilvl="2" w:tentative="0">
      <w:start w:val="1"/>
      <w:numFmt w:val="bullet"/>
      <w:lvlText w:val="▪"/>
      <w:lvlJc w:val="left"/>
      <w:pPr>
        <w:ind w:left="1152" w:hanging="288"/>
      </w:pPr>
      <w:rPr>
        <w:color w:val="3370FF"/>
        <w:sz w:val="22"/>
        <w:szCs w:val="22"/>
      </w:rPr>
    </w:lvl>
  </w:abstractNum>
  <w:abstractNum w:abstractNumId="4">
    <w:nsid w:val="7B6F2773"/>
    <w:multiLevelType w:val="singleLevel"/>
    <w:tmpl w:val="7B6F2773"/>
    <w:lvl w:ilvl="0" w:tentative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num w:numId="1">
    <w:abstractNumId w:val="4"/>
  </w:num>
  <w:num w:numId="2">
    <w:abstractNumId w:val="3"/>
    <w:lvlOverride w:ilvl="0">
      <w:startOverride w:val="1"/>
    </w:lvlOverride>
  </w:num>
  <w:num w:numId="3">
    <w:abstractNumId w:val="2"/>
  </w:num>
  <w:num w:numId="4">
    <w:abstractNumId w:val="1"/>
  </w:num>
  <w:num w:numId="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6"/>
  <w:displayBackgroundShape w:val="1"/>
  <w:documentProtection w:enforcement="0"/>
  <w:compat>
    <w:useFELayout/>
    <w:compatSetting w:name="compatibilityMode" w:uri="http://schemas.microsoft.com/office/word" w:val="15"/>
  </w:compat>
  <w:rsids>
    <w:rsidRoot w:val="00000000"/>
    <w:rsid w:val="0F7E11F6"/>
    <w:rsid w:val="14172FEE"/>
    <w:rsid w:val="408F7457"/>
    <w:rsid w:val="48E924A4"/>
    <w:rsid w:val="547F1782"/>
    <w:rsid w:val="59BC5A1F"/>
    <w:rsid w:val="5CEB54C1"/>
    <w:rsid w:val="68172955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nhideWhenUsed="0" w:uiPriority="0" w:semiHidden="0" w:name="heading 2"/>
    <w:lsdException w:qFormat="1" w:unhideWhenUsed="0" w:uiPriority="0" w:semiHidden="0" w:name="heading 3"/>
    <w:lsdException w:qFormat="1" w:unhideWhenUsed="0" w:uiPriority="0" w:semiHidden="0" w:name="heading 4"/>
    <w:lsdException w:qFormat="1" w:unhideWhenUsed="0" w:uiPriority="0" w:semiHidden="0" w:name="heading 5"/>
    <w:lsdException w:qFormat="1" w:unhideWhenUsed="0" w:uiPriority="0" w:semiHidden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qFormat="1" w:uiPriority="99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qFormat="1" w:uiPriority="99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iPriority="99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0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autoRedefine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sz w:val="21"/>
      <w:szCs w:val="22"/>
    </w:rPr>
  </w:style>
  <w:style w:type="paragraph" w:styleId="2">
    <w:name w:val="heading 1"/>
    <w:next w:val="1"/>
    <w:qFormat/>
    <w:uiPriority w:val="0"/>
    <w:pPr>
      <w:spacing w:before="380" w:after="140" w:line="288" w:lineRule="auto"/>
      <w:ind w:left="0"/>
      <w:jc w:val="left"/>
      <w:outlineLvl w:val="0"/>
    </w:pPr>
    <w:rPr>
      <w:rFonts w:ascii="Arial" w:hAnsi="Arial" w:eastAsia="等线" w:cs="Arial"/>
      <w:b/>
      <w:bCs/>
      <w:sz w:val="36"/>
      <w:szCs w:val="36"/>
    </w:rPr>
  </w:style>
  <w:style w:type="paragraph" w:styleId="3">
    <w:name w:val="heading 2"/>
    <w:next w:val="1"/>
    <w:qFormat/>
    <w:uiPriority w:val="0"/>
    <w:pPr>
      <w:spacing w:before="320" w:after="120" w:line="288" w:lineRule="auto"/>
      <w:ind w:left="0"/>
      <w:jc w:val="left"/>
      <w:outlineLvl w:val="1"/>
    </w:pPr>
    <w:rPr>
      <w:rFonts w:ascii="Arial" w:hAnsi="Arial" w:eastAsia="等线" w:cs="Arial"/>
      <w:b/>
      <w:bCs/>
      <w:sz w:val="32"/>
      <w:szCs w:val="32"/>
    </w:rPr>
  </w:style>
  <w:style w:type="paragraph" w:styleId="4">
    <w:name w:val="heading 3"/>
    <w:next w:val="1"/>
    <w:qFormat/>
    <w:uiPriority w:val="0"/>
    <w:pPr>
      <w:spacing w:before="300" w:after="120" w:line="288" w:lineRule="auto"/>
      <w:ind w:left="0"/>
      <w:jc w:val="left"/>
      <w:outlineLvl w:val="2"/>
    </w:pPr>
    <w:rPr>
      <w:rFonts w:ascii="Arial" w:hAnsi="Arial" w:eastAsia="等线" w:cs="Arial"/>
      <w:b/>
      <w:bCs/>
      <w:sz w:val="30"/>
      <w:szCs w:val="30"/>
    </w:rPr>
  </w:style>
  <w:style w:type="paragraph" w:styleId="5">
    <w:name w:val="heading 4"/>
    <w:next w:val="1"/>
    <w:qFormat/>
    <w:uiPriority w:val="0"/>
    <w:pPr>
      <w:spacing w:before="260" w:after="120" w:line="288" w:lineRule="auto"/>
      <w:ind w:left="0"/>
      <w:jc w:val="left"/>
      <w:outlineLvl w:val="3"/>
    </w:pPr>
    <w:rPr>
      <w:rFonts w:ascii="Arial" w:hAnsi="Arial" w:eastAsia="等线" w:cs="Arial"/>
      <w:b/>
      <w:bCs/>
      <w:sz w:val="28"/>
      <w:szCs w:val="28"/>
    </w:rPr>
  </w:style>
  <w:style w:type="paragraph" w:styleId="6">
    <w:name w:val="heading 5"/>
    <w:next w:val="1"/>
    <w:qFormat/>
    <w:uiPriority w:val="0"/>
    <w:pPr>
      <w:spacing w:before="240" w:after="120" w:line="288" w:lineRule="auto"/>
      <w:ind w:left="0"/>
      <w:jc w:val="left"/>
      <w:outlineLvl w:val="4"/>
    </w:pPr>
    <w:rPr>
      <w:rFonts w:ascii="Arial" w:hAnsi="Arial" w:eastAsia="等线" w:cs="Arial"/>
      <w:b/>
      <w:bCs/>
      <w:sz w:val="24"/>
      <w:szCs w:val="24"/>
    </w:rPr>
  </w:style>
  <w:style w:type="paragraph" w:styleId="7">
    <w:name w:val="heading 6"/>
    <w:next w:val="1"/>
    <w:qFormat/>
    <w:uiPriority w:val="0"/>
    <w:pPr>
      <w:spacing w:before="240" w:after="120" w:line="288" w:lineRule="auto"/>
      <w:ind w:left="0"/>
      <w:jc w:val="left"/>
      <w:outlineLvl w:val="5"/>
    </w:pPr>
    <w:rPr>
      <w:rFonts w:ascii="Arial" w:hAnsi="Arial" w:eastAsia="等线" w:cs="Arial"/>
      <w:b/>
      <w:bCs/>
      <w:sz w:val="24"/>
      <w:szCs w:val="24"/>
    </w:rPr>
  </w:style>
  <w:style w:type="character" w:default="1" w:styleId="11">
    <w:name w:val="Default Paragraph Font"/>
    <w:autoRedefine/>
    <w:semiHidden/>
    <w:qFormat/>
    <w:uiPriority w:val="0"/>
  </w:style>
  <w:style w:type="table" w:default="1" w:styleId="10">
    <w:name w:val="Normal Table"/>
    <w:autoRedefine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8">
    <w:name w:val="footnote text"/>
    <w:link w:val="15"/>
    <w:semiHidden/>
    <w:unhideWhenUsed/>
    <w:qFormat/>
    <w:uiPriority w:val="99"/>
    <w:pPr>
      <w:spacing w:after="0" w:line="240" w:lineRule="auto"/>
    </w:pPr>
    <w:rPr>
      <w:rFonts w:asciiTheme="minorHAnsi" w:hAnsiTheme="minorHAnsi" w:eastAsiaTheme="minorEastAsia" w:cstheme="minorBidi"/>
      <w:sz w:val="20"/>
      <w:szCs w:val="20"/>
    </w:rPr>
  </w:style>
  <w:style w:type="paragraph" w:styleId="9">
    <w:name w:val="Title"/>
    <w:qFormat/>
    <w:uiPriority w:val="0"/>
    <w:pPr>
      <w:spacing w:before="480" w:after="480" w:line="288" w:lineRule="auto"/>
      <w:ind w:left="0"/>
    </w:pPr>
    <w:rPr>
      <w:rFonts w:ascii="Arial" w:hAnsi="Arial" w:eastAsia="等线" w:cs="Arial"/>
      <w:b/>
      <w:bCs/>
      <w:sz w:val="52"/>
      <w:szCs w:val="52"/>
    </w:rPr>
  </w:style>
  <w:style w:type="character" w:styleId="12">
    <w:name w:val="Hyperlink"/>
    <w:unhideWhenUsed/>
    <w:qFormat/>
    <w:uiPriority w:val="99"/>
    <w:rPr>
      <w:color w:val="0563C1"/>
      <w:u w:val="single"/>
    </w:rPr>
  </w:style>
  <w:style w:type="character" w:styleId="13">
    <w:name w:val="footnote reference"/>
    <w:semiHidden/>
    <w:unhideWhenUsed/>
    <w:qFormat/>
    <w:uiPriority w:val="99"/>
    <w:rPr>
      <w:vertAlign w:val="superscript"/>
    </w:rPr>
  </w:style>
  <w:style w:type="paragraph" w:styleId="14">
    <w:name w:val="List Paragraph"/>
    <w:qFormat/>
    <w:uiPriority w:val="0"/>
    <w:rPr>
      <w:rFonts w:asciiTheme="minorHAnsi" w:hAnsiTheme="minorHAnsi" w:eastAsiaTheme="minorEastAsia" w:cstheme="minorBidi"/>
      <w:sz w:val="21"/>
      <w:szCs w:val="22"/>
    </w:rPr>
  </w:style>
  <w:style w:type="character" w:customStyle="1" w:styleId="15">
    <w:name w:val="Footnote Text Char"/>
    <w:link w:val="8"/>
    <w:semiHidden/>
    <w:unhideWhenUsed/>
    <w:qFormat/>
    <w:uiPriority w:val="99"/>
    <w:rPr>
      <w:sz w:val="20"/>
      <w:szCs w:val="20"/>
    </w:rPr>
  </w:style>
  <w:style w:type="paragraph" w:customStyle="1" w:styleId="16">
    <w:name w:val="_Style 13"/>
    <w:qFormat/>
    <w:uiPriority w:val="0"/>
    <w:pPr>
      <w:spacing w:before="120" w:after="120" w:line="288" w:lineRule="auto"/>
      <w:ind w:left="0"/>
      <w:jc w:val="left"/>
    </w:pPr>
    <w:rPr>
      <w:rFonts w:ascii="Arial" w:hAnsi="Arial" w:eastAsia="等线" w:cs="Arial"/>
      <w:sz w:val="22"/>
      <w:szCs w:val="22"/>
    </w:rPr>
  </w:style>
  <w:style w:type="paragraph" w:customStyle="1" w:styleId="17">
    <w:name w:val="_Style 14"/>
    <w:qFormat/>
    <w:uiPriority w:val="0"/>
    <w:pPr>
      <w:spacing w:before="120" w:after="120" w:line="288" w:lineRule="auto"/>
      <w:ind w:left="0"/>
      <w:jc w:val="left"/>
    </w:pPr>
    <w:rPr>
      <w:rFonts w:ascii="Arial" w:hAnsi="Arial" w:eastAsia="等线" w:cs="Arial"/>
      <w:color w:val="8F959E"/>
      <w:sz w:val="22"/>
      <w:szCs w:val="22"/>
    </w:r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CCE8C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9</Pages>
  <Words>1336</Words>
  <Characters>1364</Characters>
  <TotalTime>18</TotalTime>
  <ScaleCrop>false</ScaleCrop>
  <LinksUpToDate>false</LinksUpToDate>
  <CharactersWithSpaces>1422</CharactersWithSpaces>
  <Application>WPS Office_12.1.0.24034_F1E327BC-269C-435d-A152-05C5408002CA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2026-01-19T09:17:00Z</dcterms:created>
  <dc:creator>Un-named</dc:creator>
  <cp:lastModifiedBy>张雅馨</cp:lastModifiedBy>
  <dcterms:modified xsi:type="dcterms:W3CDTF">2026-01-20T03:36:41Z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eyJoZGlkIjoiZTNhNzI4YzhlZDI4ZDNkNTlkYjg1ZDE2MGVlZmJjN2YiLCJ1c2VySWQiOiIxNjAzNDcxMTk5In0=</vt:lpwstr>
  </property>
  <property fmtid="{D5CDD505-2E9C-101B-9397-08002B2CF9AE}" pid="3" name="KSOProductBuildVer">
    <vt:lpwstr>2052-12.1.0.24034</vt:lpwstr>
  </property>
  <property fmtid="{D5CDD505-2E9C-101B-9397-08002B2CF9AE}" pid="4" name="ICV">
    <vt:lpwstr>626AF81080DD45B5965C08C05F151D43_13</vt:lpwstr>
  </property>
</Properties>
</file>